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96EF" w14:textId="0AE8233F" w:rsidR="00E913F5" w:rsidRPr="00E913F5" w:rsidRDefault="00736304" w:rsidP="00054289">
      <w:pPr>
        <w:jc w:val="both"/>
        <w:rPr>
          <w:rFonts w:ascii="Avenir Book" w:hAnsi="Avenir Book" w:cs="Arial"/>
          <w:szCs w:val="22"/>
        </w:rPr>
      </w:pPr>
      <w:r w:rsidRPr="002F7BBA">
        <w:rPr>
          <w:rFonts w:ascii="Avenir Book" w:hAnsi="Avenir Book" w:cs="Arial"/>
          <w:b/>
          <w:noProof/>
          <w:szCs w:val="22"/>
          <w:lang w:val="en-US" w:eastAsia="en-US"/>
        </w:rPr>
        <w:drawing>
          <wp:anchor distT="0" distB="0" distL="114300" distR="114300" simplePos="0" relativeHeight="251691008" behindDoc="0" locked="0" layoutInCell="1" allowOverlap="1" wp14:anchorId="0912A934" wp14:editId="7FF34308">
            <wp:simplePos x="0" y="0"/>
            <wp:positionH relativeFrom="column">
              <wp:posOffset>8001000</wp:posOffset>
            </wp:positionH>
            <wp:positionV relativeFrom="paragraph">
              <wp:posOffset>-168299</wp:posOffset>
            </wp:positionV>
            <wp:extent cx="793750" cy="793750"/>
            <wp:effectExtent l="0" t="0" r="0" b="0"/>
            <wp:wrapNone/>
            <wp:docPr id="2" name="Image 2" descr="C:\Users\mainguy_a\Pictures\logo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guy_a\Pictures\logo 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BBA">
        <w:rPr>
          <w:rFonts w:ascii="Avenir Book" w:hAnsi="Avenir Book" w:cs="Arial"/>
          <w:b/>
          <w:noProof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F30823" wp14:editId="069CD54C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892300" cy="564515"/>
            <wp:effectExtent l="0" t="0" r="1270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ervisi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F5" w:rsidRPr="00E913F5">
        <w:rPr>
          <w:rFonts w:ascii="Avenir Book" w:hAnsi="Avenir Book" w:cs="Arial"/>
          <w:b/>
          <w:noProof/>
          <w:szCs w:val="22"/>
        </w:rPr>
        <w:tab/>
        <w:t xml:space="preserve">  </w:t>
      </w:r>
      <w:r w:rsidR="00E913F5" w:rsidRPr="00E913F5">
        <w:rPr>
          <w:rFonts w:ascii="Avenir Book" w:hAnsi="Avenir Book" w:cs="Arial"/>
          <w:b/>
          <w:noProof/>
          <w:szCs w:val="22"/>
        </w:rPr>
        <w:tab/>
      </w:r>
      <w:r w:rsidR="00E913F5" w:rsidRPr="00E913F5">
        <w:rPr>
          <w:rFonts w:ascii="Avenir Book" w:hAnsi="Avenir Book" w:cs="Arial"/>
          <w:b/>
          <w:noProof/>
          <w:szCs w:val="22"/>
        </w:rPr>
        <w:tab/>
        <w:t xml:space="preserve"> </w:t>
      </w:r>
      <w:r w:rsidR="00E913F5" w:rsidRPr="00E913F5">
        <w:rPr>
          <w:rFonts w:ascii="Avenir Book" w:hAnsi="Avenir Book" w:cs="Arial"/>
          <w:b/>
          <w:noProof/>
          <w:szCs w:val="22"/>
        </w:rPr>
        <w:tab/>
      </w:r>
      <w:r w:rsidR="00E913F5" w:rsidRPr="00E913F5">
        <w:rPr>
          <w:rFonts w:ascii="Avenir Book" w:hAnsi="Avenir Book" w:cs="Arial"/>
          <w:b/>
          <w:noProof/>
          <w:szCs w:val="22"/>
        </w:rPr>
        <w:tab/>
        <w:t xml:space="preserve">  </w:t>
      </w:r>
      <w:r w:rsidR="00E913F5" w:rsidRPr="00E913F5">
        <w:rPr>
          <w:rFonts w:ascii="Avenir Book" w:hAnsi="Avenir Book" w:cs="Arial"/>
          <w:b/>
          <w:noProof/>
          <w:szCs w:val="22"/>
        </w:rPr>
        <w:tab/>
      </w:r>
      <w:r w:rsidR="00E913F5" w:rsidRPr="00E913F5">
        <w:rPr>
          <w:rFonts w:ascii="Avenir Book" w:hAnsi="Avenir Book" w:cs="Arial"/>
          <w:b/>
          <w:noProof/>
          <w:szCs w:val="22"/>
        </w:rPr>
        <w:tab/>
        <w:t xml:space="preserve">            </w:t>
      </w:r>
      <w:r w:rsidR="00E913F5" w:rsidRPr="00E913F5">
        <w:rPr>
          <w:rFonts w:ascii="Avenir Book" w:hAnsi="Avenir Book" w:cs="Arial"/>
          <w:b/>
          <w:noProof/>
          <w:szCs w:val="22"/>
        </w:rPr>
        <w:tab/>
      </w:r>
    </w:p>
    <w:p w14:paraId="70E6BAED" w14:textId="0FE5FEE7" w:rsidR="00547D22" w:rsidRDefault="00547D22">
      <w:pPr>
        <w:rPr>
          <w:rFonts w:asciiTheme="minorHAnsi" w:eastAsiaTheme="minorEastAsia" w:hAnsiTheme="minorHAnsi" w:cstheme="minorBidi"/>
          <w:b/>
          <w:sz w:val="24"/>
        </w:rPr>
      </w:pPr>
    </w:p>
    <w:p w14:paraId="3D06FB6E" w14:textId="77777777" w:rsidR="00E50C90" w:rsidRDefault="00E50C90">
      <w:pPr>
        <w:rPr>
          <w:rFonts w:asciiTheme="minorHAnsi" w:eastAsiaTheme="minorEastAsia" w:hAnsiTheme="minorHAnsi" w:cstheme="minorBidi"/>
          <w:b/>
          <w:sz w:val="24"/>
        </w:rPr>
      </w:pPr>
    </w:p>
    <w:p w14:paraId="58C78FD4" w14:textId="77777777" w:rsidR="0086057A" w:rsidRDefault="0086057A" w:rsidP="0086057A">
      <w:pPr>
        <w:tabs>
          <w:tab w:val="left" w:pos="1068"/>
        </w:tabs>
        <w:rPr>
          <w:rFonts w:asciiTheme="minorHAnsi" w:eastAsiaTheme="minorEastAsia" w:hAnsiTheme="minorHAnsi" w:cstheme="minorBidi"/>
          <w:sz w:val="24"/>
        </w:rPr>
      </w:pPr>
    </w:p>
    <w:p w14:paraId="63B13408" w14:textId="726CA5E7" w:rsidR="0086057A" w:rsidRDefault="0086057A" w:rsidP="0086057A">
      <w:pPr>
        <w:pStyle w:val="Titre1"/>
        <w:spacing w:before="120"/>
        <w:jc w:val="center"/>
        <w:rPr>
          <w:sz w:val="24"/>
        </w:rPr>
      </w:pPr>
      <w:bookmarkStart w:id="0" w:name="_GoBack"/>
      <w:r w:rsidRPr="00CB16EF">
        <w:rPr>
          <w:sz w:val="24"/>
        </w:rPr>
        <w:t>DEVELOPPEMENT DES ORGANISATIONS</w:t>
      </w:r>
      <w:r w:rsidR="0094777F">
        <w:rPr>
          <w:sz w:val="24"/>
        </w:rPr>
        <w:t xml:space="preserve"> - </w:t>
      </w:r>
      <w:r>
        <w:rPr>
          <w:sz w:val="24"/>
        </w:rPr>
        <w:t>Priorités et besoins d’accompagnements</w:t>
      </w:r>
    </w:p>
    <w:bookmarkEnd w:id="0"/>
    <w:p w14:paraId="09E3C1BF" w14:textId="77777777" w:rsidR="008445A8" w:rsidRPr="008445A8" w:rsidRDefault="008445A8" w:rsidP="008445A8"/>
    <w:tbl>
      <w:tblPr>
        <w:tblW w:w="143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850"/>
        <w:gridCol w:w="7537"/>
      </w:tblGrid>
      <w:tr w:rsidR="00B608AC" w:rsidRPr="0094777F" w14:paraId="0FF0FB05" w14:textId="63F027D7" w:rsidTr="00091A99">
        <w:trPr>
          <w:trHeight w:val="17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EBD5"/>
            <w:noWrap/>
            <w:hideMark/>
          </w:tcPr>
          <w:p w14:paraId="41D01642" w14:textId="77777777" w:rsidR="008445A8" w:rsidRPr="0094777F" w:rsidRDefault="008445A8" w:rsidP="00091A99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4777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Critère 1 : Stratégie et métiers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73FD8069" w14:textId="1E69C401" w:rsidR="008445A8" w:rsidRPr="0094777F" w:rsidRDefault="008445A8" w:rsidP="00D57C21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Priorités</w:t>
            </w:r>
          </w:p>
        </w:tc>
        <w:tc>
          <w:tcPr>
            <w:tcW w:w="75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0F355BF8" w14:textId="5A910E70" w:rsidR="008445A8" w:rsidRPr="0094777F" w:rsidRDefault="008445A8" w:rsidP="002C14C3">
            <w:pPr>
              <w:spacing w:line="20" w:lineRule="atLeast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Accompagnement souhaité</w:t>
            </w:r>
          </w:p>
        </w:tc>
      </w:tr>
      <w:tr w:rsidR="00B608AC" w:rsidRPr="002F7BBA" w14:paraId="10116FCF" w14:textId="22B43046" w:rsidTr="00091A99">
        <w:trPr>
          <w:trHeight w:val="260"/>
        </w:trPr>
        <w:tc>
          <w:tcPr>
            <w:tcW w:w="59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4E2D16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L’organisation a défini clairement et fait partager sa vision, sa mission et ses valeurs. </w:t>
            </w:r>
          </w:p>
        </w:tc>
        <w:tc>
          <w:tcPr>
            <w:tcW w:w="85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E83BE" w14:textId="77777777" w:rsidR="008445A8" w:rsidRDefault="008445A8" w:rsidP="00B608AC">
            <w:pPr>
              <w:ind w:left="720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3EAA518" w14:textId="6188EBE4" w:rsid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Appui</w:t>
            </w:r>
            <w:r w:rsidR="00FC5E36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conseil</w:t>
            </w: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en stratégie de développement de l’organisation</w:t>
            </w:r>
          </w:p>
          <w:p w14:paraId="14B9F8EE" w14:textId="2E9ADB5E" w:rsidR="00F934CB" w:rsidRDefault="00F934CB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Appui conseil à l’actualisation </w:t>
            </w:r>
            <w:r w:rsidR="002C14C3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/ évaluation </w:t>
            </w: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de plans stratégiques</w:t>
            </w:r>
          </w:p>
          <w:p w14:paraId="4341C704" w14:textId="77777777" w:rsidR="008445A8" w:rsidRDefault="002C14C3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Capacité à « vendre » ces plans stratégiques</w:t>
            </w:r>
          </w:p>
          <w:p w14:paraId="75ACB908" w14:textId="4D7CAB1C" w:rsidR="002C14C3" w:rsidRPr="00B608AC" w:rsidRDefault="002C14C3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Articulation des différents plans stratégiques de développement des bailleurs</w:t>
            </w:r>
          </w:p>
        </w:tc>
      </w:tr>
      <w:tr w:rsidR="00B608AC" w:rsidRPr="002F7BBA" w14:paraId="57BBE4A9" w14:textId="25768180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75A29C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La stratégie de développement de l’organisation à 3 ou 5 ans est définie.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4FFE7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E52C8DE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20580939" w14:textId="5665A13F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7DBB60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maitrise plusieurs métiers.</w:t>
            </w:r>
            <w:r w:rsidRPr="002F7BBA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29F2E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E7DB83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7AB38AF0" w14:textId="0ABE27C4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8BE13D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Face aux changements de l’environnement, l’organisation sait faire évoluer son positionnement stratégique.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502C18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3C084CF7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94777F" w14:paraId="12B8001C" w14:textId="4A0A2801" w:rsidTr="00091A99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  <w:noWrap/>
            <w:hideMark/>
          </w:tcPr>
          <w:p w14:paraId="7B60B735" w14:textId="77777777" w:rsidR="008445A8" w:rsidRPr="0094777F" w:rsidRDefault="008445A8" w:rsidP="00091A99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4777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Critère 2 : Leadership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40E425A9" w14:textId="64E395D2" w:rsidR="008445A8" w:rsidRPr="0094777F" w:rsidRDefault="008445A8" w:rsidP="00D57C21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Priorités</w:t>
            </w:r>
          </w:p>
        </w:tc>
        <w:tc>
          <w:tcPr>
            <w:tcW w:w="7537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02AD8DC0" w14:textId="09F7815E" w:rsidR="008445A8" w:rsidRPr="0094777F" w:rsidRDefault="008445A8" w:rsidP="002C14C3">
            <w:pPr>
              <w:spacing w:line="20" w:lineRule="atLeast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Accompagnement souhaité</w:t>
            </w:r>
          </w:p>
        </w:tc>
      </w:tr>
      <w:tr w:rsidR="00B608AC" w:rsidRPr="002F7BBA" w14:paraId="067CA0DC" w14:textId="1CE4CAA0" w:rsidTr="00091A99">
        <w:trPr>
          <w:trHeight w:val="260"/>
        </w:trPr>
        <w:tc>
          <w:tcPr>
            <w:tcW w:w="59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60746650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est portée par plusieurs leaders.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E1F4E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43DFD7E1" w14:textId="6F2AD02A" w:rsidR="00B608AC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Accompagnement en leadership Présidents, SG, Directeurs diocésains. (resituer la mission des Caritas au cœur de la Pastorale de l’Eglise)</w:t>
            </w:r>
          </w:p>
          <w:p w14:paraId="7D69BA70" w14:textId="448DAC48" w:rsidR="00B608AC" w:rsidRPr="00B608AC" w:rsidRDefault="00B608AC" w:rsidP="002C14C3">
            <w:pPr>
              <w:pStyle w:val="Paragraphedeliste"/>
              <w:spacing w:line="20" w:lineRule="atLeast"/>
              <w:ind w:left="35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- Visites d’échange plus ciblées</w:t>
            </w:r>
          </w:p>
          <w:p w14:paraId="5C224383" w14:textId="4843A666" w:rsidR="00B608AC" w:rsidRPr="00B608AC" w:rsidRDefault="00B608AC" w:rsidP="002C14C3">
            <w:pPr>
              <w:pStyle w:val="Paragraphedeliste"/>
              <w:spacing w:line="20" w:lineRule="atLeast"/>
              <w:ind w:left="35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- Séminaire d’élaboration et de partage de visions : rôle, missions, </w:t>
            </w:r>
            <w:r w:rsidR="00F934CB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stratégie de développement, </w:t>
            </w: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etc.</w:t>
            </w:r>
          </w:p>
          <w:p w14:paraId="6F4FE901" w14:textId="77777777" w:rsidR="00F934CB" w:rsidRDefault="00B608AC" w:rsidP="002C14C3">
            <w:pPr>
              <w:pStyle w:val="Paragraphedeliste"/>
              <w:spacing w:line="20" w:lineRule="atLeast"/>
              <w:ind w:left="35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- Formation en leadership</w:t>
            </w:r>
          </w:p>
          <w:p w14:paraId="5DDB2103" w14:textId="77777777" w:rsidR="00F934CB" w:rsidRDefault="00F934CB" w:rsidP="002C14C3">
            <w:pPr>
              <w:pStyle w:val="Paragraphedeliste"/>
              <w:spacing w:line="20" w:lineRule="atLeast"/>
              <w:ind w:left="35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- </w:t>
            </w:r>
            <w:r w:rsidRPr="00F934CB">
              <w:rPr>
                <w:rFonts w:ascii="Avenir Book" w:hAnsi="Avenir Book" w:cs="Arial"/>
                <w:color w:val="000000"/>
                <w:sz w:val="18"/>
                <w:szCs w:val="18"/>
              </w:rPr>
              <w:t>Coaching de</w:t>
            </w: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s</w:t>
            </w:r>
            <w:r w:rsidRPr="00F934CB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leader</w:t>
            </w: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s</w:t>
            </w:r>
            <w:r w:rsidRPr="00F934CB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pour consolider les relations de confiance au sein du réseau</w:t>
            </w:r>
          </w:p>
          <w:p w14:paraId="103E26C2" w14:textId="7853780D" w:rsidR="00F934CB" w:rsidRPr="00F81677" w:rsidRDefault="00F934CB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F81677">
              <w:rPr>
                <w:rFonts w:ascii="Avenir Book" w:hAnsi="Avenir Book" w:cs="Arial"/>
                <w:color w:val="000000"/>
                <w:sz w:val="18"/>
                <w:szCs w:val="18"/>
              </w:rPr>
              <w:t>Appui conseil des Directeurs et des staff</w:t>
            </w:r>
            <w:r w:rsidR="00F81677" w:rsidRPr="00F81677">
              <w:rPr>
                <w:rFonts w:ascii="Avenir Book" w:hAnsi="Avenir Book" w:cs="Arial"/>
                <w:color w:val="000000"/>
                <w:sz w:val="18"/>
                <w:szCs w:val="18"/>
              </w:rPr>
              <w:t>s</w:t>
            </w:r>
            <w:r w:rsidRPr="00F81677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pour une synergie du réseau</w:t>
            </w:r>
          </w:p>
        </w:tc>
      </w:tr>
      <w:tr w:rsidR="00B608AC" w:rsidRPr="002F7BBA" w14:paraId="600F3529" w14:textId="329EA844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3BA0ACA7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Les leaders de l’organisation portent une vision de développement interne et externe.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03D9B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BA9F673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23B8B5E5" w14:textId="66C3B447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7839C9EF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Les leaders associent et mobilisent les parties prenantes de l’organisation.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BA7B8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CE7E3CD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6E7F86FA" w14:textId="5F292983" w:rsidTr="00091A99">
        <w:trPr>
          <w:trHeight w:val="252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3A548996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Les leaders sont exemplaires et créent de la confiance.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C81C732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92A818C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94777F" w14:paraId="37C10FE1" w14:textId="2001F161" w:rsidTr="00091A99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  <w:noWrap/>
            <w:hideMark/>
          </w:tcPr>
          <w:p w14:paraId="100F5C77" w14:textId="77777777" w:rsidR="008445A8" w:rsidRPr="0094777F" w:rsidRDefault="008445A8" w:rsidP="00091A99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4777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Critère 3 : Partenariats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2BA08BCF" w14:textId="1B97D8AC" w:rsidR="008445A8" w:rsidRPr="0094777F" w:rsidRDefault="008445A8" w:rsidP="00D57C21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Priorités</w:t>
            </w:r>
          </w:p>
        </w:tc>
        <w:tc>
          <w:tcPr>
            <w:tcW w:w="7537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0595E78A" w14:textId="2B600405" w:rsidR="008445A8" w:rsidRPr="0094777F" w:rsidRDefault="008445A8" w:rsidP="002C14C3">
            <w:pPr>
              <w:spacing w:line="20" w:lineRule="atLeast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Accompagnement souhaité</w:t>
            </w:r>
          </w:p>
        </w:tc>
      </w:tr>
      <w:tr w:rsidR="00B608AC" w:rsidRPr="00B608AC" w14:paraId="56F26855" w14:textId="6E2AD4DF" w:rsidTr="00091A99">
        <w:trPr>
          <w:trHeight w:val="260"/>
        </w:trPr>
        <w:tc>
          <w:tcPr>
            <w:tcW w:w="59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006F0409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dispose de plusieurs partenariats institutionnels et techniques forts.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962BE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3F83C222" w14:textId="14C7847D" w:rsidR="00B608AC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Appui aux Directeurs diocésains et nationaux à la gestion des relations partenariales, notamment bailleurs et partenaires techniques</w:t>
            </w:r>
            <w:r w:rsidR="00F81677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(consolidation et diversification)</w:t>
            </w: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.</w:t>
            </w:r>
          </w:p>
          <w:p w14:paraId="3CBB781B" w14:textId="77777777" w:rsid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Appui aux CD dans la gestion de leurs relations partenariales avec les communautés de base et les organisations professionnelles : contractualisation, respect des conventions, redevabilité, etc. </w:t>
            </w:r>
          </w:p>
          <w:p w14:paraId="7A89CAA6" w14:textId="39C7F99A" w:rsidR="00F81677" w:rsidRPr="00B608AC" w:rsidRDefault="00F81677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Mise en place d’une stratégie d’influence des partenaires </w:t>
            </w:r>
          </w:p>
          <w:p w14:paraId="7C3572F5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B608AC" w14:paraId="2F5C5F42" w14:textId="53A15393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67F4E51F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est en interdépendance avec ses partenaires (et non dépendante).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6FFBC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F100624" w14:textId="77777777" w:rsidR="008445A8" w:rsidRDefault="008445A8" w:rsidP="002C14C3">
            <w:pPr>
              <w:numPr>
                <w:ilvl w:val="0"/>
                <w:numId w:val="11"/>
              </w:num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B608AC" w14:paraId="5A3C52E8" w14:textId="5EB4CEE0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349420E1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est reconnue institutionnellement dans son environnement.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6C199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7140C3" w14:textId="77777777" w:rsidR="008445A8" w:rsidRDefault="008445A8" w:rsidP="002C14C3">
            <w:pPr>
              <w:numPr>
                <w:ilvl w:val="0"/>
                <w:numId w:val="11"/>
              </w:num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B608AC" w14:paraId="38E4A800" w14:textId="50E19875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139611E0" w14:textId="77777777" w:rsidR="008445A8" w:rsidRPr="002F0613" w:rsidRDefault="008445A8" w:rsidP="00091A99">
            <w:pPr>
              <w:rPr>
                <w:rFonts w:ascii="Avenir Book" w:hAnsi="Avenir Book" w:cs="Arial"/>
                <w:b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</w:t>
            </w:r>
            <w:r>
              <w:rPr>
                <w:rFonts w:ascii="Avenir Book" w:hAnsi="Avenir Book" w:cs="Arial"/>
                <w:b/>
                <w:color w:val="000000"/>
                <w:sz w:val="18"/>
                <w:szCs w:val="18"/>
              </w:rPr>
              <w:t xml:space="preserve"> </w:t>
            </w:r>
            <w:r w:rsidRPr="002F0613">
              <w:rPr>
                <w:rFonts w:ascii="Avenir Book" w:hAnsi="Avenir Book" w:cs="Arial"/>
                <w:color w:val="000000"/>
                <w:sz w:val="18"/>
                <w:szCs w:val="18"/>
              </w:rPr>
              <w:t>a un pouvoir d’influence sur ses partenaires.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E706380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79A2A162" w14:textId="77777777" w:rsidR="008445A8" w:rsidRDefault="008445A8" w:rsidP="002C14C3">
            <w:pPr>
              <w:numPr>
                <w:ilvl w:val="0"/>
                <w:numId w:val="11"/>
              </w:num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94777F" w14:paraId="261DEEEB" w14:textId="25E07392" w:rsidTr="00091A99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  <w:noWrap/>
            <w:hideMark/>
          </w:tcPr>
          <w:p w14:paraId="3E560808" w14:textId="77777777" w:rsidR="008445A8" w:rsidRPr="0094777F" w:rsidRDefault="008445A8" w:rsidP="00091A99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4777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Critère 4 : Compétences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15ACFA94" w14:textId="0E589A34" w:rsidR="008445A8" w:rsidRPr="0094777F" w:rsidRDefault="008445A8" w:rsidP="00D57C21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Priorités</w:t>
            </w:r>
          </w:p>
        </w:tc>
        <w:tc>
          <w:tcPr>
            <w:tcW w:w="7537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2EBE7990" w14:textId="78206E7D" w:rsidR="008445A8" w:rsidRPr="0094777F" w:rsidRDefault="008445A8" w:rsidP="002C14C3">
            <w:pPr>
              <w:spacing w:line="20" w:lineRule="atLeast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Accompagnement souhaité</w:t>
            </w:r>
          </w:p>
        </w:tc>
      </w:tr>
      <w:tr w:rsidR="00B608AC" w:rsidRPr="002F7BBA" w14:paraId="34D6284A" w14:textId="7489317E" w:rsidTr="00091A99">
        <w:trPr>
          <w:trHeight w:val="260"/>
        </w:trPr>
        <w:tc>
          <w:tcPr>
            <w:tcW w:w="59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7AF057D7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L’organisation dispose de compétences propres en interne.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FB656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7E90EE9A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Problématiques du turn-over après renouvellement des compétences – Définir une politique RH : renforcer le sentiment d’appartenances, la mobilité professionnelle, valorisation, etc. </w:t>
            </w:r>
          </w:p>
          <w:p w14:paraId="191E7E03" w14:textId="0A15A72F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Renforcement des compé</w:t>
            </w:r>
            <w:r w:rsidR="00D124E2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tences en gestion de programmes, </w:t>
            </w: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suivi-évaluation</w:t>
            </w:r>
          </w:p>
          <w:p w14:paraId="41D4FA81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Augmenter le nombre du personnel dans certaines Caritas </w:t>
            </w:r>
          </w:p>
          <w:p w14:paraId="229AF04C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Voyages d’échanges entre Caritas pays, et entre Caritas diocésaines</w:t>
            </w:r>
          </w:p>
          <w:p w14:paraId="2D014763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Formation en management des Directeurs nationaux et diocésains</w:t>
            </w:r>
          </w:p>
          <w:p w14:paraId="251C6826" w14:textId="490D9321" w:rsidR="00444881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Création d’une base de données de compétences</w:t>
            </w:r>
            <w:r w:rsidR="00F81677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au niveau national</w:t>
            </w:r>
          </w:p>
          <w:p w14:paraId="45325C71" w14:textId="4754055D" w:rsidR="00F81677" w:rsidRDefault="00F81677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Capitalisation et partage de connaissance</w:t>
            </w:r>
            <w:r w:rsidR="00D124E2">
              <w:rPr>
                <w:rFonts w:ascii="Avenir Book" w:hAnsi="Avenir Book" w:cs="Arial"/>
                <w:color w:val="000000"/>
                <w:sz w:val="18"/>
                <w:szCs w:val="18"/>
              </w:rPr>
              <w:t>s</w:t>
            </w: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 du réseau</w:t>
            </w:r>
          </w:p>
          <w:p w14:paraId="7BED1CF1" w14:textId="77777777" w:rsidR="00D124E2" w:rsidRPr="00B608AC" w:rsidRDefault="00D124E2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Développer une culture de capitalisation </w:t>
            </w:r>
          </w:p>
          <w:p w14:paraId="4E3CA35C" w14:textId="77777777" w:rsidR="008445A8" w:rsidRPr="00D124E2" w:rsidRDefault="008445A8" w:rsidP="002C14C3">
            <w:pPr>
              <w:spacing w:line="20" w:lineRule="atLeast"/>
              <w:ind w:left="-20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3F288C2F" w14:textId="36E9670E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7B031A60" w14:textId="4018054A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Les compétences de l’organisation permettent d’atteindre les objectifs fixés.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60C691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23589B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0471DD0C" w14:textId="136BFAFC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7DDD521B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Les compétences de l’organisation sont capitalisées pour assurer leur pérennité.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521C0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885CBB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5E98988B" w14:textId="1D3BBE0C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3EE849E3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L’organisation développe des processus d’innovation pour diversifier et accroitre ses compétences. 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18613E8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7F698B8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94777F" w14:paraId="531C1F4E" w14:textId="28FCE09F" w:rsidTr="00091A99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  <w:noWrap/>
            <w:hideMark/>
          </w:tcPr>
          <w:p w14:paraId="69FDF1D6" w14:textId="77777777" w:rsidR="008445A8" w:rsidRPr="0094777F" w:rsidRDefault="008445A8" w:rsidP="00091A99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4777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lastRenderedPageBreak/>
              <w:t>Critère 5 : Fonctionnement interne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1F23D22C" w14:textId="151CD709" w:rsidR="008445A8" w:rsidRPr="0094777F" w:rsidRDefault="008445A8" w:rsidP="00D57C21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Priorités</w:t>
            </w:r>
          </w:p>
        </w:tc>
        <w:tc>
          <w:tcPr>
            <w:tcW w:w="7537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084200F1" w14:textId="0E724126" w:rsidR="008445A8" w:rsidRPr="0094777F" w:rsidRDefault="008445A8" w:rsidP="002C14C3">
            <w:pPr>
              <w:spacing w:line="20" w:lineRule="atLeast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Accompagnement souhaité</w:t>
            </w:r>
          </w:p>
        </w:tc>
      </w:tr>
      <w:tr w:rsidR="00B608AC" w:rsidRPr="002F7BBA" w14:paraId="1A188737" w14:textId="5AA4DD57" w:rsidTr="00091A99">
        <w:trPr>
          <w:trHeight w:val="260"/>
        </w:trPr>
        <w:tc>
          <w:tcPr>
            <w:tcW w:w="59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1B81333D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dispose d’une gouvernance fonctionnelle.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EE8D2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32D679F9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Politique et système de recrutement (manuel des procédures)</w:t>
            </w:r>
          </w:p>
          <w:p w14:paraId="691223CA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Rôles, pouvoirs, articulation, coordination du CA/SG, puis SG/CD</w:t>
            </w:r>
          </w:p>
          <w:p w14:paraId="77F3F085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Renforcement du fonctionnement interne des Caritas Diocésaines</w:t>
            </w:r>
          </w:p>
          <w:p w14:paraId="01CC3225" w14:textId="1A26C396" w:rsidR="008445A8" w:rsidRDefault="00D124E2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Mutualisation des expériences sur la structuration du réseaux</w:t>
            </w:r>
          </w:p>
        </w:tc>
      </w:tr>
      <w:tr w:rsidR="00B608AC" w:rsidRPr="002F7BBA" w14:paraId="0C873363" w14:textId="5681103D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1AE284EC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coordonne efficacement ses activités.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928E9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58DE1C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3A6A1513" w14:textId="37F09D32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07736E32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dispose d’une organisation interne formalisée (organigramme, procédures,  fiches de postes ...).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4E3BC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CB5D09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0661FEAF" w14:textId="42F54DE0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712B5124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dispose de services support efficaces.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899C6F7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57B95108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94777F" w14:paraId="2AF21FB7" w14:textId="55FBA1C3" w:rsidTr="00091A99">
        <w:trPr>
          <w:trHeight w:val="170"/>
        </w:trPr>
        <w:tc>
          <w:tcPr>
            <w:tcW w:w="5969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  <w:noWrap/>
            <w:hideMark/>
          </w:tcPr>
          <w:p w14:paraId="483A553B" w14:textId="77777777" w:rsidR="008445A8" w:rsidRPr="0094777F" w:rsidRDefault="008445A8" w:rsidP="00091A99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4777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Critère 6 : Communication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1B6CE9E4" w14:textId="74779E1C" w:rsidR="008445A8" w:rsidRPr="0094777F" w:rsidRDefault="008445A8" w:rsidP="00D57C21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Priorités</w:t>
            </w:r>
          </w:p>
        </w:tc>
        <w:tc>
          <w:tcPr>
            <w:tcW w:w="7537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3179AA5B" w14:textId="2BF98E43" w:rsidR="008445A8" w:rsidRPr="0094777F" w:rsidRDefault="008445A8" w:rsidP="002C14C3">
            <w:pPr>
              <w:spacing w:line="20" w:lineRule="atLeast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Accompagnement souhaité</w:t>
            </w:r>
          </w:p>
        </w:tc>
      </w:tr>
      <w:tr w:rsidR="00B608AC" w:rsidRPr="002F7BBA" w14:paraId="2E3C369C" w14:textId="7056822E" w:rsidTr="00091A99">
        <w:trPr>
          <w:trHeight w:val="260"/>
        </w:trPr>
        <w:tc>
          <w:tcPr>
            <w:tcW w:w="59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3CABFCB1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Chaque personne en interne dispose de l’information nécessaire à sa mission. 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D188D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28331C51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Appui à la création d’un site internet</w:t>
            </w:r>
          </w:p>
          <w:p w14:paraId="4BD2133C" w14:textId="5C2A0318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Appui à la création </w:t>
            </w:r>
            <w:r w:rsidR="00D124E2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et mise en place </w:t>
            </w: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d’un plan de communication en interne (réseau) et en externe (grand public)</w:t>
            </w:r>
          </w:p>
          <w:p w14:paraId="5538CD65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Appui à la veille sur opportunités de l’environnement</w:t>
            </w:r>
          </w:p>
          <w:p w14:paraId="41CD1D1D" w14:textId="4100FB58" w:rsidR="008445A8" w:rsidRPr="00D124E2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 xml:space="preserve">Communication sur le programme lors d’ateliers ? </w:t>
            </w:r>
          </w:p>
        </w:tc>
      </w:tr>
      <w:tr w:rsidR="00B608AC" w:rsidRPr="002F7BBA" w14:paraId="4B97F067" w14:textId="71528B58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54CDEE3A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communique à l’externe sur ses activités.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B84FE4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B890D4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12CC7938" w14:textId="56B8F945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1C67FE5C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sait valoriser ses acquis et ses réussites.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7E02C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13FAD54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7EDA0EF3" w14:textId="4AC3BD34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</w:tcPr>
          <w:p w14:paraId="3376CA24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La communication de l’organisation est relayée par d’autres organisations.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BB0DD5A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523E62A2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24DDCE76" w14:textId="79AC2A05" w:rsidTr="00091A99">
        <w:trPr>
          <w:trHeight w:val="113"/>
        </w:trPr>
        <w:tc>
          <w:tcPr>
            <w:tcW w:w="5969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  <w:noWrap/>
            <w:hideMark/>
          </w:tcPr>
          <w:p w14:paraId="3FF60E86" w14:textId="77777777" w:rsidR="008445A8" w:rsidRPr="0094777F" w:rsidRDefault="008445A8" w:rsidP="00091A99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94777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Critère 7 : Autonomie financière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5F702C84" w14:textId="22A73D83" w:rsidR="008445A8" w:rsidRPr="0046567A" w:rsidRDefault="008445A8" w:rsidP="00D57C21">
            <w:pPr>
              <w:rPr>
                <w:rFonts w:ascii="Century Gothic" w:hAnsi="Century Gothic" w:cs="Arial"/>
                <w:b/>
                <w:color w:val="000000"/>
                <w:sz w:val="24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Priorités</w:t>
            </w:r>
          </w:p>
        </w:tc>
        <w:tc>
          <w:tcPr>
            <w:tcW w:w="7537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EBD5"/>
          </w:tcPr>
          <w:p w14:paraId="5CD4FA99" w14:textId="04EF94C6" w:rsidR="008445A8" w:rsidRPr="0046567A" w:rsidRDefault="008445A8" w:rsidP="002C14C3">
            <w:pPr>
              <w:spacing w:line="20" w:lineRule="atLeast"/>
              <w:rPr>
                <w:rFonts w:ascii="Century Gothic" w:hAnsi="Century Gothic" w:cs="Arial"/>
                <w:b/>
                <w:color w:val="000000"/>
                <w:sz w:val="24"/>
              </w:rPr>
            </w:pPr>
            <w:r>
              <w:rPr>
                <w:rFonts w:ascii="Gill Sans" w:hAnsi="Gill Sans" w:cs="Gill Sans"/>
                <w:color w:val="000000"/>
                <w:sz w:val="20"/>
                <w:szCs w:val="20"/>
              </w:rPr>
              <w:t>Accompagnement souhaité</w:t>
            </w:r>
          </w:p>
        </w:tc>
      </w:tr>
      <w:tr w:rsidR="00B608AC" w:rsidRPr="002F7BBA" w14:paraId="0A68199E" w14:textId="2F8629C6" w:rsidTr="00091A99">
        <w:trPr>
          <w:trHeight w:val="260"/>
        </w:trPr>
        <w:tc>
          <w:tcPr>
            <w:tcW w:w="596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3C962394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dispose de plusieurs bailleurs.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3EEC6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0B677CD8" w14:textId="27687425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Elaboration de plan de mobilisation de ressources (</w:t>
            </w:r>
            <w:proofErr w:type="spellStart"/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fundraising</w:t>
            </w:r>
            <w:proofErr w:type="spellEnd"/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) externe et interne (entre Paroisses, Diocèses et Nationale)</w:t>
            </w:r>
            <w:r w:rsidR="00D124E2">
              <w:rPr>
                <w:rFonts w:ascii="Avenir Book" w:hAnsi="Avenir Book" w:cs="Arial"/>
                <w:color w:val="000000"/>
                <w:sz w:val="18"/>
                <w:szCs w:val="18"/>
              </w:rPr>
              <w:t>, et plan d’autofinancement</w:t>
            </w:r>
          </w:p>
          <w:p w14:paraId="1C2D13FB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Elaboration d’un document cadre de règles de partenariats avec les bailleurs (exemple Burkina)</w:t>
            </w:r>
          </w:p>
          <w:p w14:paraId="08644FCA" w14:textId="77777777" w:rsidR="00444881" w:rsidRPr="00B608AC" w:rsidRDefault="00B608AC" w:rsidP="002C14C3">
            <w:pPr>
              <w:pStyle w:val="Paragraphedeliste"/>
              <w:numPr>
                <w:ilvl w:val="0"/>
                <w:numId w:val="15"/>
              </w:numPr>
              <w:spacing w:line="20" w:lineRule="atLeast"/>
              <w:ind w:left="356" w:hanging="376"/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 w:rsidRPr="00B608AC">
              <w:rPr>
                <w:rFonts w:ascii="Avenir Book" w:hAnsi="Avenir Book" w:cs="Arial"/>
                <w:color w:val="000000"/>
                <w:sz w:val="18"/>
                <w:szCs w:val="18"/>
              </w:rPr>
              <w:t>Organisation d’un forum de partenaires du réseau de l’Eglise en pays (Exemple Mali)</w:t>
            </w:r>
          </w:p>
          <w:p w14:paraId="48FD6E11" w14:textId="77777777" w:rsidR="008445A8" w:rsidRDefault="008445A8" w:rsidP="002C14C3">
            <w:pPr>
              <w:spacing w:line="20" w:lineRule="atLeas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7EBA3795" w14:textId="0C07025F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070397A0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dispose des moyens financiers suffisants pour réaliser sa mission.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B136D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3F2C0C5" w14:textId="77777777" w:rsidR="008445A8" w:rsidRDefault="008445A8" w:rsidP="002C14C3">
            <w:pPr>
              <w:spacing w:line="20" w:lineRule="atLeast"/>
              <w:jc w:val="righ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5C964784" w14:textId="60DE732E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0F71BCCE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a une liberté d’actions face à ses bailleurs.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366F1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0F5A16C" w14:textId="77777777" w:rsidR="008445A8" w:rsidRDefault="008445A8" w:rsidP="002C14C3">
            <w:pPr>
              <w:spacing w:line="20" w:lineRule="atLeast"/>
              <w:jc w:val="righ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  <w:tr w:rsidR="00B608AC" w:rsidRPr="002F7BBA" w14:paraId="0FCBBEA7" w14:textId="356A8ADC" w:rsidTr="00091A99">
        <w:trPr>
          <w:trHeight w:val="260"/>
        </w:trPr>
        <w:tc>
          <w:tcPr>
            <w:tcW w:w="5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14:paraId="707EE641" w14:textId="77777777" w:rsidR="008445A8" w:rsidRPr="002F7BBA" w:rsidRDefault="008445A8" w:rsidP="00091A99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  <w:r>
              <w:rPr>
                <w:rFonts w:ascii="Avenir Book" w:hAnsi="Avenir Book" w:cs="Arial"/>
                <w:color w:val="000000"/>
                <w:sz w:val="18"/>
                <w:szCs w:val="18"/>
              </w:rPr>
              <w:t>L’organisation a développé une capacité d’autofinancement importante.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5BB5E" w14:textId="77777777" w:rsidR="008445A8" w:rsidRDefault="008445A8" w:rsidP="00D57C21">
            <w:pPr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  <w:tc>
          <w:tcPr>
            <w:tcW w:w="75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DE6F3" w14:textId="77777777" w:rsidR="008445A8" w:rsidRDefault="008445A8" w:rsidP="002C14C3">
            <w:pPr>
              <w:spacing w:line="20" w:lineRule="atLeast"/>
              <w:jc w:val="right"/>
              <w:rPr>
                <w:rFonts w:ascii="Avenir Book" w:hAnsi="Avenir Book" w:cs="Arial"/>
                <w:color w:val="000000"/>
                <w:sz w:val="18"/>
                <w:szCs w:val="18"/>
              </w:rPr>
            </w:pPr>
          </w:p>
        </w:tc>
      </w:tr>
    </w:tbl>
    <w:p w14:paraId="7AE5ABB4" w14:textId="77777777" w:rsidR="0086057A" w:rsidRPr="0086057A" w:rsidRDefault="0086057A" w:rsidP="0086057A">
      <w:pPr>
        <w:tabs>
          <w:tab w:val="left" w:pos="1068"/>
        </w:tabs>
        <w:rPr>
          <w:rFonts w:asciiTheme="minorHAnsi" w:eastAsiaTheme="minorEastAsia" w:hAnsiTheme="minorHAnsi" w:cstheme="minorBidi"/>
          <w:sz w:val="24"/>
        </w:rPr>
      </w:pPr>
    </w:p>
    <w:sectPr w:rsidR="0086057A" w:rsidRPr="0086057A" w:rsidSect="00E50C90">
      <w:footerReference w:type="default" r:id="rId10"/>
      <w:pgSz w:w="16840" w:h="11900" w:orient="landscape"/>
      <w:pgMar w:top="964" w:right="1134" w:bottom="96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651F" w14:textId="77777777" w:rsidR="00BB1FD0" w:rsidRDefault="00BB1FD0" w:rsidP="002F7BBA">
      <w:r>
        <w:separator/>
      </w:r>
    </w:p>
  </w:endnote>
  <w:endnote w:type="continuationSeparator" w:id="0">
    <w:p w14:paraId="6F6400B9" w14:textId="77777777" w:rsidR="00BB1FD0" w:rsidRDefault="00BB1FD0" w:rsidP="002F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B37D0" w14:textId="382F5434" w:rsidR="00D124E2" w:rsidRPr="002F7BBA" w:rsidRDefault="00D124E2" w:rsidP="002F7BBA">
    <w:pPr>
      <w:pStyle w:val="Pieddepage"/>
      <w:jc w:val="center"/>
      <w:rPr>
        <w:color w:val="7F7F7F" w:themeColor="text1" w:themeTint="80"/>
        <w:sz w:val="20"/>
      </w:rPr>
    </w:pPr>
    <w:r w:rsidRPr="002F7BBA">
      <w:rPr>
        <w:rFonts w:ascii="Lucida Grande" w:hAnsi="Lucida Grande" w:cs="Lucida Grande"/>
        <w:color w:val="7F7F7F" w:themeColor="text1" w:themeTint="80"/>
        <w:sz w:val="20"/>
      </w:rPr>
      <w:t>© Tous droits réservés AlterVisio SAS</w:t>
    </w:r>
    <w:r>
      <w:rPr>
        <w:rFonts w:ascii="Lucida Grande" w:hAnsi="Lucida Grande" w:cs="Lucida Grande"/>
        <w:color w:val="7F7F7F" w:themeColor="text1" w:themeTint="80"/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E11C" w14:textId="77777777" w:rsidR="00BB1FD0" w:rsidRDefault="00BB1FD0" w:rsidP="002F7BBA">
      <w:r>
        <w:separator/>
      </w:r>
    </w:p>
  </w:footnote>
  <w:footnote w:type="continuationSeparator" w:id="0">
    <w:p w14:paraId="108786EB" w14:textId="77777777" w:rsidR="00BB1FD0" w:rsidRDefault="00BB1FD0" w:rsidP="002F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EB6"/>
    <w:multiLevelType w:val="hybridMultilevel"/>
    <w:tmpl w:val="C3682740"/>
    <w:lvl w:ilvl="0" w:tplc="2E500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F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0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4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0D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EE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09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F08F4"/>
    <w:multiLevelType w:val="hybridMultilevel"/>
    <w:tmpl w:val="646A8DE6"/>
    <w:lvl w:ilvl="0" w:tplc="42CE6E38">
      <w:start w:val="1"/>
      <w:numFmt w:val="decimal"/>
      <w:lvlText w:val="Objectif %1.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580"/>
    <w:multiLevelType w:val="hybridMultilevel"/>
    <w:tmpl w:val="646A8DE6"/>
    <w:lvl w:ilvl="0" w:tplc="42CE6E38">
      <w:start w:val="1"/>
      <w:numFmt w:val="decimal"/>
      <w:lvlText w:val="Objectif %1.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4818"/>
    <w:multiLevelType w:val="hybridMultilevel"/>
    <w:tmpl w:val="08261B2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B4F0C"/>
    <w:multiLevelType w:val="hybridMultilevel"/>
    <w:tmpl w:val="461283F2"/>
    <w:lvl w:ilvl="0" w:tplc="0DD4D14E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566"/>
    <w:multiLevelType w:val="hybridMultilevel"/>
    <w:tmpl w:val="30FECB9A"/>
    <w:lvl w:ilvl="0" w:tplc="4F96C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8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CA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A3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2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8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24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25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68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9D7D7F"/>
    <w:multiLevelType w:val="hybridMultilevel"/>
    <w:tmpl w:val="884A09CC"/>
    <w:lvl w:ilvl="0" w:tplc="42CE6E38">
      <w:start w:val="1"/>
      <w:numFmt w:val="decimal"/>
      <w:lvlText w:val="Objectif %1.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748D8"/>
    <w:multiLevelType w:val="hybridMultilevel"/>
    <w:tmpl w:val="9CBA1F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B373F"/>
    <w:multiLevelType w:val="hybridMultilevel"/>
    <w:tmpl w:val="4552E654"/>
    <w:lvl w:ilvl="0" w:tplc="C818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C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CA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4D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5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A7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0A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4E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790987"/>
    <w:multiLevelType w:val="hybridMultilevel"/>
    <w:tmpl w:val="5C909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2B0D86"/>
    <w:multiLevelType w:val="hybridMultilevel"/>
    <w:tmpl w:val="FC780BBA"/>
    <w:lvl w:ilvl="0" w:tplc="1E84E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40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C3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EB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61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85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4F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7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570099"/>
    <w:multiLevelType w:val="multilevel"/>
    <w:tmpl w:val="C78258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tyle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6D3EDB"/>
    <w:multiLevelType w:val="hybridMultilevel"/>
    <w:tmpl w:val="47D887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C5655"/>
    <w:multiLevelType w:val="hybridMultilevel"/>
    <w:tmpl w:val="646A8DE6"/>
    <w:lvl w:ilvl="0" w:tplc="42CE6E38">
      <w:start w:val="1"/>
      <w:numFmt w:val="decimal"/>
      <w:lvlText w:val="Objectif %1.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10563"/>
    <w:multiLevelType w:val="hybridMultilevel"/>
    <w:tmpl w:val="88E675DE"/>
    <w:lvl w:ilvl="0" w:tplc="0DD4D14E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F5"/>
    <w:rsid w:val="00054289"/>
    <w:rsid w:val="00087D66"/>
    <w:rsid w:val="00091A99"/>
    <w:rsid w:val="0010359C"/>
    <w:rsid w:val="00121D07"/>
    <w:rsid w:val="0017579E"/>
    <w:rsid w:val="0019144F"/>
    <w:rsid w:val="002C14C3"/>
    <w:rsid w:val="002E1BC7"/>
    <w:rsid w:val="002F0613"/>
    <w:rsid w:val="002F7BBA"/>
    <w:rsid w:val="00344B21"/>
    <w:rsid w:val="00363077"/>
    <w:rsid w:val="00363E7A"/>
    <w:rsid w:val="00397038"/>
    <w:rsid w:val="003B414C"/>
    <w:rsid w:val="00432769"/>
    <w:rsid w:val="00444881"/>
    <w:rsid w:val="0046567A"/>
    <w:rsid w:val="004D4485"/>
    <w:rsid w:val="00521961"/>
    <w:rsid w:val="00547D22"/>
    <w:rsid w:val="00554D8D"/>
    <w:rsid w:val="006C745C"/>
    <w:rsid w:val="006F2419"/>
    <w:rsid w:val="00736304"/>
    <w:rsid w:val="00740C5A"/>
    <w:rsid w:val="00760EFD"/>
    <w:rsid w:val="007D37FB"/>
    <w:rsid w:val="00824645"/>
    <w:rsid w:val="008445A8"/>
    <w:rsid w:val="008535E3"/>
    <w:rsid w:val="0086057A"/>
    <w:rsid w:val="0094777F"/>
    <w:rsid w:val="00953361"/>
    <w:rsid w:val="00A22141"/>
    <w:rsid w:val="00A2466C"/>
    <w:rsid w:val="00A578F3"/>
    <w:rsid w:val="00A60A27"/>
    <w:rsid w:val="00A779DF"/>
    <w:rsid w:val="00AE219C"/>
    <w:rsid w:val="00B608AC"/>
    <w:rsid w:val="00BA07EB"/>
    <w:rsid w:val="00BB1FD0"/>
    <w:rsid w:val="00BF5DC6"/>
    <w:rsid w:val="00C2145D"/>
    <w:rsid w:val="00C666E0"/>
    <w:rsid w:val="00C66E12"/>
    <w:rsid w:val="00C820B0"/>
    <w:rsid w:val="00CB16EF"/>
    <w:rsid w:val="00CB2B58"/>
    <w:rsid w:val="00CE2AD2"/>
    <w:rsid w:val="00CE4101"/>
    <w:rsid w:val="00D124E2"/>
    <w:rsid w:val="00D57C21"/>
    <w:rsid w:val="00DF5DB9"/>
    <w:rsid w:val="00E358D2"/>
    <w:rsid w:val="00E403BA"/>
    <w:rsid w:val="00E40729"/>
    <w:rsid w:val="00E45CCC"/>
    <w:rsid w:val="00E4643C"/>
    <w:rsid w:val="00E50C90"/>
    <w:rsid w:val="00E80530"/>
    <w:rsid w:val="00E913F5"/>
    <w:rsid w:val="00EC556C"/>
    <w:rsid w:val="00F77E80"/>
    <w:rsid w:val="00F81677"/>
    <w:rsid w:val="00F934CB"/>
    <w:rsid w:val="00FB678B"/>
    <w:rsid w:val="00FC5E36"/>
    <w:rsid w:val="00FD3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2D6"/>
  <w15:docId w15:val="{677F4CA2-03FA-450E-B920-32E9BF8E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F5"/>
    <w:rPr>
      <w:rFonts w:ascii="Times New Roman" w:eastAsia="Times New Roman" w:hAnsi="Times New Roman"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B2B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C00000" w:themeColor="accent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BF5DC6"/>
    <w:pPr>
      <w:keepNext/>
      <w:keepLines/>
      <w:pBdr>
        <w:bottom w:val="single" w:sz="4" w:space="1" w:color="C00000" w:themeColor="accent1"/>
      </w:pBdr>
      <w:spacing w:before="200"/>
      <w:outlineLvl w:val="1"/>
    </w:pPr>
    <w:rPr>
      <w:rFonts w:eastAsiaTheme="majorEastAsia" w:cstheme="majorBidi"/>
      <w:b/>
      <w:bCs/>
      <w:color w:val="C00000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qFormat/>
    <w:rsid w:val="00363E7A"/>
    <w:pPr>
      <w:keepNext/>
      <w:suppressAutoHyphens/>
      <w:autoSpaceDE w:val="0"/>
      <w:autoSpaceDN w:val="0"/>
      <w:adjustRightInd w:val="0"/>
      <w:spacing w:before="340" w:after="160" w:line="260" w:lineRule="atLeast"/>
      <w:outlineLvl w:val="2"/>
    </w:pPr>
    <w:rPr>
      <w:rFonts w:asciiTheme="minorHAnsi" w:hAnsiTheme="minorHAnsi"/>
      <w:b/>
      <w:i/>
      <w:color w:val="000000"/>
      <w:w w:val="0"/>
      <w:sz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2B58"/>
    <w:rPr>
      <w:rFonts w:asciiTheme="majorHAnsi" w:eastAsiaTheme="majorEastAsia" w:hAnsiTheme="majorHAnsi" w:cstheme="majorBidi"/>
      <w:b/>
      <w:bCs/>
      <w:color w:val="C00000" w:themeColor="accent1"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363E7A"/>
    <w:rPr>
      <w:rFonts w:eastAsia="Times New Roman"/>
      <w:b/>
      <w:i/>
      <w:color w:val="000000"/>
      <w:w w:val="0"/>
      <w:lang w:eastAsia="zh-CN"/>
    </w:rPr>
  </w:style>
  <w:style w:type="paragraph" w:styleId="Lgende">
    <w:name w:val="caption"/>
    <w:basedOn w:val="Normal"/>
    <w:next w:val="Normal"/>
    <w:qFormat/>
    <w:rsid w:val="00A60A2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" w:hAnsi="Times"/>
      <w:i/>
    </w:rPr>
  </w:style>
  <w:style w:type="character" w:customStyle="1" w:styleId="Titre2Car">
    <w:name w:val="Titre 2 Car"/>
    <w:basedOn w:val="Policepardfaut"/>
    <w:link w:val="Titre2"/>
    <w:rsid w:val="00BF5DC6"/>
    <w:rPr>
      <w:rFonts w:ascii="Gill Sans" w:eastAsiaTheme="majorEastAsia" w:hAnsi="Gill Sans" w:cstheme="majorBidi"/>
      <w:b/>
      <w:bCs/>
      <w:color w:val="C00000" w:themeColor="accent1"/>
      <w:szCs w:val="26"/>
    </w:rPr>
  </w:style>
  <w:style w:type="paragraph" w:styleId="Citation">
    <w:name w:val="Quote"/>
    <w:basedOn w:val="Paragraphedeliste"/>
    <w:next w:val="Normal"/>
    <w:link w:val="CitationCar"/>
    <w:uiPriority w:val="29"/>
    <w:qFormat/>
    <w:rsid w:val="00E40729"/>
    <w:pPr>
      <w:ind w:left="360"/>
    </w:pPr>
    <w:rPr>
      <w:rFonts w:ascii="Cochin" w:hAnsi="Cochin" w:cs="Gill Sans"/>
      <w:i/>
    </w:rPr>
  </w:style>
  <w:style w:type="character" w:customStyle="1" w:styleId="CitationCar">
    <w:name w:val="Citation Car"/>
    <w:basedOn w:val="Policepardfaut"/>
    <w:link w:val="Citation"/>
    <w:uiPriority w:val="29"/>
    <w:rsid w:val="00E40729"/>
    <w:rPr>
      <w:rFonts w:ascii="Cochin" w:hAnsi="Cochin" w:cs="Gill Sans"/>
      <w:i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521961"/>
    <w:pPr>
      <w:keepNext/>
      <w:keepLines/>
      <w:spacing w:line="276" w:lineRule="auto"/>
      <w:ind w:left="720"/>
      <w:contextualSpacing/>
    </w:pPr>
    <w:rPr>
      <w:szCs w:val="20"/>
      <w:lang w:eastAsia="en-US"/>
    </w:rPr>
  </w:style>
  <w:style w:type="paragraph" w:customStyle="1" w:styleId="Style1">
    <w:name w:val="Style1"/>
    <w:basedOn w:val="Titre3"/>
    <w:qFormat/>
    <w:rsid w:val="00C666E0"/>
    <w:pPr>
      <w:keepLines/>
      <w:numPr>
        <w:ilvl w:val="1"/>
        <w:numId w:val="1"/>
      </w:numPr>
      <w:tabs>
        <w:tab w:val="left" w:pos="142"/>
        <w:tab w:val="left" w:pos="7300"/>
      </w:tabs>
      <w:suppressAutoHyphens w:val="0"/>
      <w:autoSpaceDE/>
      <w:autoSpaceDN/>
      <w:adjustRightInd/>
      <w:spacing w:before="480" w:after="240" w:line="276" w:lineRule="auto"/>
    </w:pPr>
    <w:rPr>
      <w:rFonts w:ascii="Verdana" w:eastAsiaTheme="majorEastAsia" w:hAnsi="Verdana" w:cstheme="majorBidi"/>
      <w:bCs/>
      <w:i w:val="0"/>
      <w:color w:val="000000" w:themeColor="text1"/>
      <w:w w:val="100"/>
      <w:sz w:val="20"/>
      <w:szCs w:val="22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3F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3F5"/>
    <w:rPr>
      <w:rFonts w:ascii="Lucida Grande" w:eastAsia="Times New Roman" w:hAnsi="Lucida Grande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7B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7BBA"/>
    <w:rPr>
      <w:rFonts w:ascii="Times New Roman" w:eastAsia="Times New Roman" w:hAnsi="Times New Roman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2F7B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7BBA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Altervisio ">
  <a:themeElements>
    <a:clrScheme name="PMS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C00000"/>
      </a:accent1>
      <a:accent2>
        <a:srgbClr val="CC4626"/>
      </a:accent2>
      <a:accent3>
        <a:srgbClr val="FE9B2E"/>
      </a:accent3>
      <a:accent4>
        <a:srgbClr val="679945"/>
      </a:accent4>
      <a:accent5>
        <a:srgbClr val="486CAC"/>
      </a:accent5>
      <a:accent6>
        <a:srgbClr val="002060"/>
      </a:accent6>
      <a:hlink>
        <a:srgbClr val="262699"/>
      </a:hlink>
      <a:folHlink>
        <a:srgbClr val="B2B2B2"/>
      </a:folHlink>
    </a:clrScheme>
    <a:fontScheme name="Modèle par défaut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rgbClr val="A7C1DD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  <a:spAutoFit/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200" b="0" i="0" u="none" strike="noStrike" cap="none" normalizeH="0" baseline="0" smtClean="0">
            <a:ln>
              <a:noFill/>
            </a:ln>
            <a:solidFill>
              <a:srgbClr val="003366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rgbClr val="A7C1DD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  <a:spAutoFit/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FR" sz="2200" b="0" i="0" u="none" strike="noStrike" cap="none" normalizeH="0" baseline="0" smtClean="0">
            <a:ln>
              <a:noFill/>
            </a:ln>
            <a:solidFill>
              <a:srgbClr val="003366"/>
            </a:solidFill>
            <a:effectLst/>
            <a:latin typeface="Arial" charset="0"/>
          </a:defRPr>
        </a:defPPr>
      </a:lstStyle>
    </a:lnDef>
    <a:txDef>
      <a:spPr>
        <a:noFill/>
      </a:spPr>
      <a:bodyPr wrap="none" lIns="36000" tIns="36000" rIns="36000" bIns="36000" rtlCol="0">
        <a:noAutofit/>
      </a:bodyPr>
      <a:lstStyle>
        <a:defPPr>
          <a:defRPr sz="1600" dirty="0" smtClean="0">
            <a:solidFill>
              <a:schemeClr val="accent5">
                <a:lumMod val="75000"/>
              </a:schemeClr>
            </a:solidFill>
            <a:latin typeface="Gill Sans"/>
            <a:cs typeface="Gill Sans"/>
          </a:defRPr>
        </a:defPPr>
      </a:lstStyle>
    </a:txDef>
  </a:objectDefaults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77124-9641-4DE4-95B5-801E043C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AlterVisio</dc:creator>
  <cp:keywords/>
  <dc:description/>
  <cp:lastModifiedBy>Microsoft</cp:lastModifiedBy>
  <cp:revision>2</cp:revision>
  <cp:lastPrinted>2015-02-20T14:23:00Z</cp:lastPrinted>
  <dcterms:created xsi:type="dcterms:W3CDTF">2017-10-27T16:59:00Z</dcterms:created>
  <dcterms:modified xsi:type="dcterms:W3CDTF">2017-10-27T16:59:00Z</dcterms:modified>
</cp:coreProperties>
</file>