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AD" w:rsidRPr="00FE7940" w:rsidRDefault="00F3542E" w:rsidP="00C948AD">
      <w:pPr>
        <w:pStyle w:val="Style1"/>
        <w:tabs>
          <w:tab w:val="left" w:pos="-142"/>
          <w:tab w:val="left" w:pos="0"/>
        </w:tabs>
        <w:spacing w:line="276" w:lineRule="auto"/>
        <w:jc w:val="center"/>
        <w:outlineLvl w:val="1"/>
        <w:rPr>
          <w:rFonts w:asciiTheme="majorHAnsi" w:hAnsiTheme="majorHAnsi" w:cstheme="majorHAnsi"/>
          <w:b/>
          <w:caps w:val="0"/>
          <w:color w:val="1F497D"/>
          <w:sz w:val="36"/>
          <w:szCs w:val="36"/>
        </w:rPr>
      </w:pPr>
      <w:bookmarkStart w:id="0" w:name="_Toc448151659"/>
      <w:r>
        <w:rPr>
          <w:rFonts w:asciiTheme="majorHAnsi" w:hAnsiTheme="majorHAnsi" w:cstheme="majorHAnsi"/>
          <w:b/>
          <w:caps w:val="0"/>
          <w:color w:val="1F497D"/>
          <w:sz w:val="36"/>
          <w:szCs w:val="36"/>
        </w:rPr>
        <w:t>Fiche-outil 6</w:t>
      </w:r>
      <w:r w:rsidR="00C948AD" w:rsidRPr="00FE7940">
        <w:rPr>
          <w:rFonts w:asciiTheme="majorHAnsi" w:hAnsiTheme="majorHAnsi" w:cstheme="majorHAnsi"/>
          <w:b/>
          <w:caps w:val="0"/>
          <w:color w:val="1F497D"/>
          <w:sz w:val="36"/>
          <w:szCs w:val="36"/>
        </w:rPr>
        <w:t> : L’audit financier</w:t>
      </w:r>
      <w:bookmarkEnd w:id="0"/>
      <w:r>
        <w:rPr>
          <w:rFonts w:asciiTheme="majorHAnsi" w:hAnsiTheme="majorHAnsi" w:cstheme="majorHAnsi"/>
          <w:b/>
          <w:caps w:val="0"/>
          <w:color w:val="1F497D"/>
          <w:sz w:val="36"/>
          <w:szCs w:val="36"/>
        </w:rPr>
        <w:t xml:space="preserve"> des projets</w:t>
      </w:r>
    </w:p>
    <w:p w:rsidR="00C948AD" w:rsidRPr="00FE7940" w:rsidRDefault="00C948AD" w:rsidP="00C948AD">
      <w:pPr>
        <w:spacing w:line="276" w:lineRule="auto"/>
        <w:rPr>
          <w:rFonts w:asciiTheme="majorHAnsi" w:hAnsiTheme="majorHAnsi" w:cstheme="majorHAnsi"/>
          <w:b/>
          <w:bCs/>
        </w:rPr>
      </w:pPr>
    </w:p>
    <w:p w:rsidR="00C948AD" w:rsidRPr="00FE7940" w:rsidRDefault="00C948AD" w:rsidP="00C948AD">
      <w:pPr>
        <w:pStyle w:val="Paragraphedeliste"/>
        <w:spacing w:line="276" w:lineRule="auto"/>
        <w:rPr>
          <w:rFonts w:asciiTheme="majorHAnsi" w:hAnsiTheme="majorHAnsi" w:cstheme="majorHAnsi"/>
          <w:b/>
          <w:u w:val="single"/>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L’audit financier de projet ne se limite pas à un simple rapprochement de pièces comptables. Son objectif est de contrôler l’emploi des fonds alloués au projet, conformément aux obligations conventionnelles et à son objet propre, dans le respect du </w:t>
      </w:r>
      <w:r w:rsidR="00F3542E">
        <w:rPr>
          <w:rFonts w:asciiTheme="majorHAnsi" w:hAnsiTheme="majorHAnsi" w:cstheme="majorHAnsi"/>
          <w:sz w:val="22"/>
          <w:szCs w:val="22"/>
        </w:rPr>
        <w:t>guide méthodologique</w:t>
      </w:r>
      <w:r w:rsidRPr="00FE7940">
        <w:rPr>
          <w:rFonts w:asciiTheme="majorHAnsi" w:hAnsiTheme="majorHAnsi" w:cstheme="majorHAnsi"/>
          <w:sz w:val="22"/>
          <w:szCs w:val="22"/>
        </w:rPr>
        <w:t>.</w:t>
      </w: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L’enjeu est d’améliorer la qualité et la consistance de l’information produite par l’OSC, vérifiée par l’auditeur et transmise à l’AFD.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A cette fin, la question de l’audit doit être abordée le plus en amont possible, dès l’instruction du projet. Il s’agit de renforcer l’information entre l’OSC, l’AFD et l’auditeur mais aussi de clarifier le niveau d’exigence afférent à l’exercice d’audit</w:t>
      </w:r>
      <w:r w:rsidR="00F3542E">
        <w:rPr>
          <w:rFonts w:asciiTheme="majorHAnsi" w:hAnsiTheme="majorHAnsi" w:cstheme="majorHAnsi"/>
          <w:sz w:val="22"/>
          <w:szCs w:val="22"/>
        </w:rPr>
        <w:t xml:space="preserve"> financier</w:t>
      </w:r>
      <w:r w:rsidRPr="00FE7940">
        <w:rPr>
          <w:rFonts w:asciiTheme="majorHAnsi" w:hAnsiTheme="majorHAnsi" w:cstheme="majorHAnsi"/>
          <w:sz w:val="22"/>
          <w:szCs w:val="22"/>
        </w:rPr>
        <w:t>.</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pStyle w:val="Paragraphedeliste"/>
        <w:numPr>
          <w:ilvl w:val="0"/>
          <w:numId w:val="1"/>
        </w:numPr>
        <w:spacing w:line="276" w:lineRule="auto"/>
        <w:contextualSpacing w:val="0"/>
        <w:jc w:val="both"/>
        <w:rPr>
          <w:rFonts w:asciiTheme="majorHAnsi" w:hAnsiTheme="majorHAnsi" w:cstheme="majorHAnsi"/>
          <w:b/>
          <w:sz w:val="22"/>
          <w:szCs w:val="22"/>
          <w:u w:val="single"/>
        </w:rPr>
      </w:pPr>
      <w:r w:rsidRPr="00FE7940">
        <w:rPr>
          <w:rFonts w:asciiTheme="majorHAnsi" w:hAnsiTheme="majorHAnsi" w:cstheme="majorHAnsi"/>
          <w:b/>
          <w:sz w:val="22"/>
          <w:szCs w:val="22"/>
          <w:u w:val="single"/>
        </w:rPr>
        <w:t>Quelle OSC est soumise à un audit</w:t>
      </w:r>
      <w:r w:rsidR="00F3542E">
        <w:rPr>
          <w:rFonts w:asciiTheme="majorHAnsi" w:hAnsiTheme="majorHAnsi" w:cstheme="majorHAnsi"/>
          <w:b/>
          <w:sz w:val="22"/>
          <w:szCs w:val="22"/>
          <w:u w:val="single"/>
        </w:rPr>
        <w:t xml:space="preserve"> financier</w:t>
      </w:r>
      <w:r w:rsidRPr="00FE7940">
        <w:rPr>
          <w:rFonts w:asciiTheme="majorHAnsi" w:hAnsiTheme="majorHAnsi" w:cstheme="majorHAnsi"/>
          <w:b/>
          <w:sz w:val="22"/>
          <w:szCs w:val="22"/>
          <w:u w:val="single"/>
        </w:rPr>
        <w:t xml:space="preserve"> ? </w:t>
      </w:r>
    </w:p>
    <w:p w:rsidR="00C948AD" w:rsidRPr="00FE7940" w:rsidRDefault="00C948AD" w:rsidP="00C948AD">
      <w:pPr>
        <w:tabs>
          <w:tab w:val="num" w:pos="-1491"/>
        </w:tabs>
        <w:spacing w:line="276" w:lineRule="auto"/>
        <w:jc w:val="both"/>
        <w:rPr>
          <w:rFonts w:asciiTheme="majorHAnsi" w:hAnsiTheme="majorHAnsi" w:cstheme="majorHAnsi"/>
          <w:b/>
          <w:sz w:val="22"/>
          <w:szCs w:val="22"/>
          <w:u w:val="single"/>
        </w:rPr>
      </w:pPr>
    </w:p>
    <w:p w:rsidR="00C948AD" w:rsidRPr="00FE7940" w:rsidRDefault="00C948AD" w:rsidP="00C948AD">
      <w:pPr>
        <w:tabs>
          <w:tab w:val="num" w:pos="-1491"/>
        </w:tabs>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L’audit </w:t>
      </w:r>
      <w:r w:rsidR="00F3542E">
        <w:rPr>
          <w:rFonts w:asciiTheme="majorHAnsi" w:hAnsiTheme="majorHAnsi" w:cstheme="majorHAnsi"/>
          <w:sz w:val="22"/>
          <w:szCs w:val="22"/>
        </w:rPr>
        <w:t xml:space="preserve">financier </w:t>
      </w:r>
      <w:r w:rsidRPr="00FE7940">
        <w:rPr>
          <w:rFonts w:asciiTheme="majorHAnsi" w:hAnsiTheme="majorHAnsi" w:cstheme="majorHAnsi"/>
          <w:sz w:val="22"/>
          <w:szCs w:val="22"/>
        </w:rPr>
        <w:t>est obligatoire dans les cas suivants :</w:t>
      </w:r>
    </w:p>
    <w:p w:rsidR="00C948AD" w:rsidRPr="00FE7940" w:rsidRDefault="00C948AD" w:rsidP="00C948AD">
      <w:pPr>
        <w:tabs>
          <w:tab w:val="num" w:pos="-1491"/>
        </w:tabs>
        <w:spacing w:line="276" w:lineRule="auto"/>
        <w:jc w:val="both"/>
        <w:rPr>
          <w:rFonts w:asciiTheme="majorHAnsi" w:hAnsiTheme="majorHAnsi" w:cstheme="majorHAnsi"/>
          <w:sz w:val="22"/>
          <w:szCs w:val="22"/>
        </w:rPr>
      </w:pPr>
    </w:p>
    <w:p w:rsidR="003B0B83" w:rsidRPr="00FE7940" w:rsidRDefault="003B0B83" w:rsidP="003B0B83">
      <w:pPr>
        <w:pStyle w:val="Paragraphedeliste"/>
        <w:numPr>
          <w:ilvl w:val="0"/>
          <w:numId w:val="7"/>
        </w:numPr>
        <w:tabs>
          <w:tab w:val="num" w:pos="-1491"/>
        </w:tabs>
        <w:spacing w:line="276" w:lineRule="auto"/>
        <w:jc w:val="both"/>
        <w:rPr>
          <w:rFonts w:asciiTheme="majorHAnsi" w:hAnsiTheme="majorHAnsi" w:cstheme="majorHAnsi"/>
          <w:sz w:val="22"/>
          <w:szCs w:val="22"/>
        </w:rPr>
      </w:pPr>
      <w:r>
        <w:rPr>
          <w:rFonts w:asciiTheme="majorHAnsi" w:hAnsiTheme="majorHAnsi" w:cstheme="majorHAnsi"/>
          <w:b/>
          <w:color w:val="8064A2" w:themeColor="accent4"/>
          <w:sz w:val="22"/>
          <w:szCs w:val="22"/>
        </w:rPr>
        <w:t>t</w:t>
      </w:r>
      <w:r w:rsidRPr="00FE7940">
        <w:rPr>
          <w:rFonts w:asciiTheme="majorHAnsi" w:hAnsiTheme="majorHAnsi" w:cstheme="majorHAnsi"/>
          <w:b/>
          <w:color w:val="8064A2" w:themeColor="accent4"/>
          <w:sz w:val="22"/>
          <w:szCs w:val="22"/>
        </w:rPr>
        <w:t>oute première demande de financement de projet déposée au guichet SPC/DPO</w:t>
      </w:r>
      <w:r>
        <w:rPr>
          <w:rFonts w:asciiTheme="majorHAnsi" w:hAnsiTheme="majorHAnsi" w:cstheme="majorHAnsi"/>
          <w:b/>
          <w:color w:val="8064A2" w:themeColor="accent4"/>
          <w:sz w:val="22"/>
          <w:szCs w:val="22"/>
        </w:rPr>
        <w:t> </w:t>
      </w:r>
      <w:r>
        <w:rPr>
          <w:rFonts w:asciiTheme="majorHAnsi" w:hAnsiTheme="majorHAnsi" w:cstheme="majorHAnsi"/>
          <w:color w:val="8064A2" w:themeColor="accent4"/>
          <w:sz w:val="22"/>
          <w:szCs w:val="22"/>
        </w:rPr>
        <w:t>;</w:t>
      </w:r>
    </w:p>
    <w:p w:rsidR="003B0B83" w:rsidRPr="003B0B83" w:rsidRDefault="003B0B83" w:rsidP="003B0B83">
      <w:pPr>
        <w:spacing w:line="276" w:lineRule="auto"/>
        <w:ind w:left="360"/>
        <w:jc w:val="both"/>
        <w:rPr>
          <w:rFonts w:asciiTheme="majorHAnsi" w:hAnsiTheme="majorHAnsi" w:cstheme="majorHAnsi"/>
          <w:sz w:val="22"/>
          <w:szCs w:val="22"/>
        </w:rPr>
      </w:pPr>
    </w:p>
    <w:p w:rsidR="00C948AD" w:rsidRPr="00FE7940" w:rsidRDefault="003B0B83" w:rsidP="00C948AD">
      <w:pPr>
        <w:pStyle w:val="Paragraphedeliste"/>
        <w:numPr>
          <w:ilvl w:val="0"/>
          <w:numId w:val="7"/>
        </w:numPr>
        <w:tabs>
          <w:tab w:val="num" w:pos="-1491"/>
        </w:tabs>
        <w:spacing w:line="276" w:lineRule="auto"/>
        <w:jc w:val="both"/>
        <w:rPr>
          <w:rFonts w:asciiTheme="majorHAnsi" w:hAnsiTheme="majorHAnsi" w:cstheme="majorHAnsi"/>
          <w:sz w:val="22"/>
          <w:szCs w:val="22"/>
        </w:rPr>
      </w:pPr>
      <w:r>
        <w:rPr>
          <w:rFonts w:asciiTheme="majorHAnsi" w:hAnsiTheme="majorHAnsi" w:cstheme="majorHAnsi"/>
          <w:b/>
          <w:color w:val="8064A2" w:themeColor="accent4"/>
          <w:sz w:val="22"/>
          <w:szCs w:val="22"/>
        </w:rPr>
        <w:t>p</w:t>
      </w:r>
      <w:r w:rsidR="00C948AD" w:rsidRPr="00FE7940">
        <w:rPr>
          <w:rFonts w:asciiTheme="majorHAnsi" w:hAnsiTheme="majorHAnsi" w:cstheme="majorHAnsi"/>
          <w:b/>
          <w:color w:val="8064A2" w:themeColor="accent4"/>
          <w:sz w:val="22"/>
          <w:szCs w:val="22"/>
        </w:rPr>
        <w:t>rojets</w:t>
      </w:r>
      <w:r>
        <w:rPr>
          <w:rFonts w:asciiTheme="majorHAnsi" w:hAnsiTheme="majorHAnsi" w:cstheme="majorHAnsi"/>
          <w:b/>
          <w:color w:val="8064A2" w:themeColor="accent4"/>
          <w:sz w:val="22"/>
          <w:szCs w:val="22"/>
        </w:rPr>
        <w:t>/programmes</w:t>
      </w:r>
      <w:r w:rsidR="00C948AD" w:rsidRPr="00FE7940">
        <w:rPr>
          <w:rFonts w:asciiTheme="majorHAnsi" w:hAnsiTheme="majorHAnsi" w:cstheme="majorHAnsi"/>
          <w:b/>
          <w:color w:val="8064A2" w:themeColor="accent4"/>
          <w:sz w:val="22"/>
          <w:szCs w:val="22"/>
        </w:rPr>
        <w:t xml:space="preserve"> pour lesquels la subvention SPC/DPO est supérieure ou égale à 500 000 Euros</w:t>
      </w:r>
      <w:r>
        <w:rPr>
          <w:rFonts w:asciiTheme="majorHAnsi" w:hAnsiTheme="majorHAnsi" w:cstheme="majorHAnsi"/>
          <w:b/>
          <w:color w:val="8064A2" w:themeColor="accent4"/>
          <w:sz w:val="22"/>
          <w:szCs w:val="22"/>
        </w:rPr>
        <w:t> </w:t>
      </w:r>
      <w:r w:rsidRPr="003B0B83">
        <w:rPr>
          <w:rFonts w:asciiTheme="majorHAnsi" w:hAnsiTheme="majorHAnsi" w:cstheme="majorHAnsi"/>
          <w:b/>
          <w:color w:val="8064A2" w:themeColor="accent4"/>
          <w:sz w:val="22"/>
          <w:szCs w:val="22"/>
        </w:rPr>
        <w:t>;</w:t>
      </w:r>
    </w:p>
    <w:p w:rsidR="00C948AD" w:rsidRPr="00FE7940" w:rsidRDefault="00C948AD" w:rsidP="00C948AD">
      <w:pPr>
        <w:tabs>
          <w:tab w:val="num" w:pos="-1491"/>
        </w:tabs>
        <w:spacing w:line="276" w:lineRule="auto"/>
        <w:jc w:val="both"/>
        <w:rPr>
          <w:rFonts w:asciiTheme="majorHAnsi" w:hAnsiTheme="majorHAnsi" w:cstheme="majorHAnsi"/>
          <w:sz w:val="22"/>
          <w:szCs w:val="22"/>
        </w:rPr>
      </w:pPr>
    </w:p>
    <w:p w:rsidR="00C948AD" w:rsidRPr="003B0B83" w:rsidRDefault="00C948AD" w:rsidP="003B0B83">
      <w:pPr>
        <w:pStyle w:val="Paragraphedeliste"/>
        <w:numPr>
          <w:ilvl w:val="0"/>
          <w:numId w:val="7"/>
        </w:numPr>
        <w:tabs>
          <w:tab w:val="num" w:pos="-1491"/>
        </w:tabs>
        <w:spacing w:line="276" w:lineRule="auto"/>
        <w:jc w:val="both"/>
        <w:rPr>
          <w:rFonts w:asciiTheme="majorHAnsi" w:hAnsiTheme="majorHAnsi" w:cstheme="majorHAnsi"/>
          <w:sz w:val="22"/>
          <w:szCs w:val="22"/>
        </w:rPr>
      </w:pPr>
      <w:r w:rsidRPr="003B0B83">
        <w:rPr>
          <w:rFonts w:asciiTheme="majorHAnsi" w:hAnsiTheme="majorHAnsi" w:cstheme="majorHAnsi"/>
          <w:sz w:val="22"/>
          <w:szCs w:val="22"/>
        </w:rPr>
        <w:t>projets</w:t>
      </w:r>
      <w:r w:rsidR="003B0B83" w:rsidRPr="003B0B83">
        <w:rPr>
          <w:rFonts w:asciiTheme="majorHAnsi" w:hAnsiTheme="majorHAnsi" w:cstheme="majorHAnsi"/>
          <w:sz w:val="22"/>
          <w:szCs w:val="22"/>
        </w:rPr>
        <w:t>/programmes</w:t>
      </w:r>
      <w:r w:rsidRPr="003B0B83">
        <w:rPr>
          <w:rFonts w:asciiTheme="majorHAnsi" w:hAnsiTheme="majorHAnsi" w:cstheme="majorHAnsi"/>
          <w:sz w:val="22"/>
          <w:szCs w:val="22"/>
        </w:rPr>
        <w:t xml:space="preserve"> pour lesquels la subvention SPC/DPO est inférieure à 500 000 Euros, </w:t>
      </w:r>
      <w:r w:rsidR="003B0B83" w:rsidRPr="003B0B83">
        <w:rPr>
          <w:rFonts w:asciiTheme="majorHAnsi" w:hAnsiTheme="majorHAnsi" w:cstheme="majorHAnsi"/>
          <w:b/>
          <w:color w:val="8064A2" w:themeColor="accent4"/>
          <w:sz w:val="22"/>
          <w:szCs w:val="22"/>
        </w:rPr>
        <w:t xml:space="preserve">si </w:t>
      </w:r>
      <w:r w:rsidRPr="003B0B83">
        <w:rPr>
          <w:rFonts w:asciiTheme="majorHAnsi" w:hAnsiTheme="majorHAnsi" w:cstheme="majorHAnsi"/>
          <w:b/>
          <w:color w:val="8064A2" w:themeColor="accent4"/>
          <w:sz w:val="22"/>
          <w:szCs w:val="22"/>
        </w:rPr>
        <w:t xml:space="preserve">les deux derniers projets </w:t>
      </w:r>
      <w:r w:rsidR="003B0B83" w:rsidRPr="003B0B83">
        <w:rPr>
          <w:rFonts w:asciiTheme="majorHAnsi" w:hAnsiTheme="majorHAnsi" w:cstheme="majorHAnsi"/>
          <w:b/>
          <w:color w:val="8064A2" w:themeColor="accent4"/>
          <w:sz w:val="22"/>
          <w:szCs w:val="22"/>
        </w:rPr>
        <w:t xml:space="preserve">de l’OSC </w:t>
      </w:r>
      <w:r w:rsidRPr="003B0B83">
        <w:rPr>
          <w:rFonts w:asciiTheme="majorHAnsi" w:hAnsiTheme="majorHAnsi" w:cstheme="majorHAnsi"/>
          <w:b/>
          <w:color w:val="8064A2" w:themeColor="accent4"/>
          <w:sz w:val="22"/>
          <w:szCs w:val="22"/>
        </w:rPr>
        <w:t xml:space="preserve">octroyés </w:t>
      </w:r>
      <w:r w:rsidR="003B0B83" w:rsidRPr="003B0B83">
        <w:rPr>
          <w:rFonts w:asciiTheme="majorHAnsi" w:hAnsiTheme="majorHAnsi" w:cstheme="majorHAnsi"/>
          <w:b/>
          <w:color w:val="8064A2" w:themeColor="accent4"/>
          <w:sz w:val="22"/>
          <w:szCs w:val="22"/>
        </w:rPr>
        <w:t xml:space="preserve">par SPC/DPO </w:t>
      </w:r>
      <w:r w:rsidRPr="003B0B83">
        <w:rPr>
          <w:rFonts w:asciiTheme="majorHAnsi" w:hAnsiTheme="majorHAnsi" w:cstheme="majorHAnsi"/>
          <w:b/>
          <w:color w:val="8064A2" w:themeColor="accent4"/>
          <w:sz w:val="22"/>
          <w:szCs w:val="22"/>
        </w:rPr>
        <w:t xml:space="preserve">pour une subvention inférieure ou égale à 500 000 Euros n’ont pas fait l’objet d’un audit externe transmis à SPC/DPO. </w:t>
      </w:r>
    </w:p>
    <w:p w:rsidR="00C948AD" w:rsidRPr="00FE7940" w:rsidRDefault="00C948AD" w:rsidP="00C948AD">
      <w:pPr>
        <w:tabs>
          <w:tab w:val="num" w:pos="-1491"/>
        </w:tabs>
        <w:spacing w:line="276" w:lineRule="auto"/>
        <w:jc w:val="both"/>
        <w:rPr>
          <w:rFonts w:asciiTheme="majorHAnsi" w:hAnsiTheme="majorHAnsi" w:cstheme="majorHAnsi"/>
          <w:sz w:val="22"/>
          <w:szCs w:val="22"/>
        </w:rPr>
      </w:pPr>
    </w:p>
    <w:p w:rsidR="00C948AD" w:rsidRPr="00FE7940" w:rsidRDefault="003B0B83" w:rsidP="00C948AD">
      <w:pPr>
        <w:spacing w:line="276" w:lineRule="auto"/>
        <w:jc w:val="both"/>
        <w:rPr>
          <w:rFonts w:asciiTheme="majorHAnsi" w:hAnsiTheme="majorHAnsi" w:cstheme="majorHAnsi"/>
          <w:sz w:val="22"/>
          <w:szCs w:val="22"/>
        </w:rPr>
      </w:pPr>
      <w:r>
        <w:rPr>
          <w:rFonts w:asciiTheme="majorHAnsi" w:hAnsiTheme="majorHAnsi" w:cstheme="majorHAnsi"/>
          <w:sz w:val="22"/>
          <w:szCs w:val="22"/>
        </w:rPr>
        <w:t>SPC/DPO</w:t>
      </w:r>
      <w:r w:rsidR="00C948AD" w:rsidRPr="00FE7940">
        <w:rPr>
          <w:rFonts w:asciiTheme="majorHAnsi" w:hAnsiTheme="majorHAnsi" w:cstheme="majorHAnsi"/>
          <w:sz w:val="22"/>
          <w:szCs w:val="22"/>
        </w:rPr>
        <w:t xml:space="preserve"> se réserve le droit d'imposer un audit </w:t>
      </w:r>
      <w:r>
        <w:rPr>
          <w:rFonts w:asciiTheme="majorHAnsi" w:hAnsiTheme="majorHAnsi" w:cstheme="majorHAnsi"/>
          <w:sz w:val="22"/>
          <w:szCs w:val="22"/>
        </w:rPr>
        <w:t xml:space="preserve">financier </w:t>
      </w:r>
      <w:r w:rsidR="00C948AD" w:rsidRPr="00FE7940">
        <w:rPr>
          <w:rFonts w:asciiTheme="majorHAnsi" w:hAnsiTheme="majorHAnsi" w:cstheme="majorHAnsi"/>
          <w:sz w:val="22"/>
          <w:szCs w:val="22"/>
        </w:rPr>
        <w:t xml:space="preserve">sur un nouveau projet soumis par une OSC dont le précédent projet aurait été audité et aurait reçu des conclusions négatives. </w:t>
      </w:r>
    </w:p>
    <w:p w:rsidR="00C948AD" w:rsidRPr="00FE7940" w:rsidRDefault="00C948AD" w:rsidP="00C948AD">
      <w:pPr>
        <w:tabs>
          <w:tab w:val="num" w:pos="-1491"/>
        </w:tabs>
        <w:spacing w:line="276" w:lineRule="auto"/>
        <w:jc w:val="both"/>
        <w:rPr>
          <w:rFonts w:asciiTheme="majorHAnsi" w:hAnsiTheme="majorHAnsi" w:cstheme="majorHAnsi"/>
          <w:sz w:val="22"/>
          <w:szCs w:val="22"/>
        </w:rPr>
      </w:pPr>
    </w:p>
    <w:p w:rsidR="00C948AD" w:rsidRPr="00FE7940" w:rsidRDefault="00C948AD" w:rsidP="00C948AD">
      <w:pPr>
        <w:tabs>
          <w:tab w:val="num" w:pos="-1491"/>
        </w:tabs>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Par ailleurs, toute OSC peut être soumise à un </w:t>
      </w:r>
      <w:r w:rsidRPr="00FE7940">
        <w:rPr>
          <w:rFonts w:asciiTheme="majorHAnsi" w:hAnsiTheme="majorHAnsi" w:cstheme="majorHAnsi"/>
          <w:b/>
          <w:color w:val="8064A2" w:themeColor="accent4"/>
          <w:sz w:val="22"/>
          <w:szCs w:val="22"/>
        </w:rPr>
        <w:t xml:space="preserve">audit </w:t>
      </w:r>
      <w:r w:rsidR="003B0B83">
        <w:rPr>
          <w:rFonts w:asciiTheme="majorHAnsi" w:hAnsiTheme="majorHAnsi" w:cstheme="majorHAnsi"/>
          <w:b/>
          <w:color w:val="8064A2" w:themeColor="accent4"/>
          <w:sz w:val="22"/>
          <w:szCs w:val="22"/>
        </w:rPr>
        <w:t xml:space="preserve">financier </w:t>
      </w:r>
      <w:r w:rsidRPr="00FE7940">
        <w:rPr>
          <w:rFonts w:asciiTheme="majorHAnsi" w:hAnsiTheme="majorHAnsi" w:cstheme="majorHAnsi"/>
          <w:b/>
          <w:color w:val="8064A2" w:themeColor="accent4"/>
          <w:sz w:val="22"/>
          <w:szCs w:val="22"/>
        </w:rPr>
        <w:t>aléatoire</w:t>
      </w:r>
      <w:r w:rsidRPr="00FE7940">
        <w:rPr>
          <w:rFonts w:asciiTheme="majorHAnsi" w:hAnsiTheme="majorHAnsi" w:cstheme="majorHAnsi"/>
          <w:sz w:val="22"/>
          <w:szCs w:val="22"/>
        </w:rPr>
        <w:t xml:space="preserve">mené à l’initiative de </w:t>
      </w:r>
      <w:r w:rsidR="003B0B83">
        <w:rPr>
          <w:rFonts w:asciiTheme="majorHAnsi" w:hAnsiTheme="majorHAnsi" w:cstheme="majorHAnsi"/>
          <w:sz w:val="22"/>
          <w:szCs w:val="22"/>
        </w:rPr>
        <w:t>SPC/DPO</w:t>
      </w:r>
      <w:r w:rsidRPr="00FE7940">
        <w:rPr>
          <w:rFonts w:asciiTheme="majorHAnsi" w:hAnsiTheme="majorHAnsi" w:cstheme="majorHAnsi"/>
          <w:sz w:val="22"/>
          <w:szCs w:val="22"/>
        </w:rPr>
        <w:t xml:space="preserve"> et financé sur les fonds du programme 209.</w:t>
      </w:r>
    </w:p>
    <w:p w:rsidR="00C948AD" w:rsidRPr="00FE7940" w:rsidRDefault="00C948AD" w:rsidP="00C948AD">
      <w:pPr>
        <w:tabs>
          <w:tab w:val="num" w:pos="-1491"/>
        </w:tabs>
        <w:spacing w:line="276" w:lineRule="auto"/>
        <w:jc w:val="both"/>
        <w:rPr>
          <w:rFonts w:asciiTheme="majorHAnsi" w:hAnsiTheme="majorHAnsi" w:cstheme="majorHAnsi"/>
          <w:sz w:val="22"/>
          <w:szCs w:val="22"/>
        </w:rPr>
      </w:pPr>
    </w:p>
    <w:p w:rsidR="00C948AD" w:rsidRPr="00FE7940" w:rsidRDefault="00C948AD" w:rsidP="00C948AD">
      <w:pPr>
        <w:pStyle w:val="Paragraphedeliste"/>
        <w:numPr>
          <w:ilvl w:val="0"/>
          <w:numId w:val="1"/>
        </w:numPr>
        <w:spacing w:line="276" w:lineRule="auto"/>
        <w:contextualSpacing w:val="0"/>
        <w:jc w:val="both"/>
        <w:rPr>
          <w:rFonts w:asciiTheme="majorHAnsi" w:hAnsiTheme="majorHAnsi" w:cstheme="majorHAnsi"/>
          <w:b/>
          <w:sz w:val="22"/>
          <w:szCs w:val="22"/>
          <w:u w:val="single"/>
        </w:rPr>
      </w:pPr>
      <w:r w:rsidRPr="00FE7940">
        <w:rPr>
          <w:rFonts w:asciiTheme="majorHAnsi" w:hAnsiTheme="majorHAnsi" w:cstheme="majorHAnsi"/>
          <w:b/>
          <w:sz w:val="22"/>
          <w:szCs w:val="22"/>
          <w:u w:val="single"/>
        </w:rPr>
        <w:t>Le budget de l’audit </w:t>
      </w:r>
      <w:r w:rsidR="003B0B83">
        <w:rPr>
          <w:rFonts w:asciiTheme="majorHAnsi" w:hAnsiTheme="majorHAnsi" w:cstheme="majorHAnsi"/>
          <w:b/>
          <w:sz w:val="22"/>
          <w:szCs w:val="22"/>
          <w:u w:val="single"/>
        </w:rPr>
        <w:t>financier</w:t>
      </w:r>
    </w:p>
    <w:p w:rsidR="00C948AD" w:rsidRPr="00FE7940" w:rsidRDefault="00C948AD" w:rsidP="00C948AD">
      <w:pPr>
        <w:pStyle w:val="Paragraphedeliste"/>
        <w:spacing w:line="276" w:lineRule="auto"/>
        <w:jc w:val="both"/>
        <w:rPr>
          <w:rFonts w:asciiTheme="majorHAnsi" w:hAnsiTheme="majorHAnsi" w:cstheme="majorHAnsi"/>
          <w:b/>
          <w:sz w:val="22"/>
          <w:szCs w:val="22"/>
          <w:u w:val="single"/>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L’audit </w:t>
      </w:r>
      <w:r w:rsidR="003B0B83">
        <w:rPr>
          <w:rFonts w:asciiTheme="majorHAnsi" w:hAnsiTheme="majorHAnsi" w:cstheme="majorHAnsi"/>
          <w:sz w:val="22"/>
          <w:szCs w:val="22"/>
        </w:rPr>
        <w:t xml:space="preserve">financier </w:t>
      </w:r>
      <w:r w:rsidRPr="00FE7940">
        <w:rPr>
          <w:rFonts w:asciiTheme="majorHAnsi" w:hAnsiTheme="majorHAnsi" w:cstheme="majorHAnsi"/>
          <w:sz w:val="22"/>
          <w:szCs w:val="22"/>
        </w:rPr>
        <w:t>étant cofinancé par les fonds de la subvention AFD, son coût doit être prévu dans le bu</w:t>
      </w:r>
      <w:r w:rsidR="003B0B83">
        <w:rPr>
          <w:rFonts w:asciiTheme="majorHAnsi" w:hAnsiTheme="majorHAnsi" w:cstheme="majorHAnsi"/>
          <w:sz w:val="22"/>
          <w:szCs w:val="22"/>
        </w:rPr>
        <w:t>dget du projet annexé à la NIONG</w:t>
      </w:r>
      <w:r w:rsidRPr="00FE7940">
        <w:rPr>
          <w:rFonts w:asciiTheme="majorHAnsi" w:hAnsiTheme="majorHAnsi" w:cstheme="majorHAnsi"/>
          <w:sz w:val="22"/>
          <w:szCs w:val="22"/>
        </w:rPr>
        <w:t>.</w:t>
      </w: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Lors de l’instruction, </w:t>
      </w:r>
      <w:r w:rsidR="003B0B83">
        <w:rPr>
          <w:rFonts w:asciiTheme="majorHAnsi" w:hAnsiTheme="majorHAnsi" w:cstheme="majorHAnsi"/>
          <w:sz w:val="22"/>
          <w:szCs w:val="22"/>
        </w:rPr>
        <w:t>SPC/DPO</w:t>
      </w:r>
      <w:r w:rsidRPr="00FE7940">
        <w:rPr>
          <w:rFonts w:asciiTheme="majorHAnsi" w:hAnsiTheme="majorHAnsi" w:cstheme="majorHAnsi"/>
          <w:sz w:val="22"/>
          <w:szCs w:val="22"/>
        </w:rPr>
        <w:t xml:space="preserve"> sera particulièrement vigilante au montant alloué à la réalisation de l’audit</w:t>
      </w:r>
      <w:r w:rsidR="003B0B83">
        <w:rPr>
          <w:rFonts w:asciiTheme="majorHAnsi" w:hAnsiTheme="majorHAnsi" w:cstheme="majorHAnsi"/>
          <w:sz w:val="22"/>
          <w:szCs w:val="22"/>
        </w:rPr>
        <w:t xml:space="preserve"> financier</w:t>
      </w:r>
      <w:r w:rsidRPr="00FE7940">
        <w:rPr>
          <w:rFonts w:asciiTheme="majorHAnsi" w:hAnsiTheme="majorHAnsi" w:cstheme="majorHAnsi"/>
          <w:sz w:val="22"/>
          <w:szCs w:val="22"/>
        </w:rPr>
        <w:t xml:space="preserve">. Ce montant ne doit pas être sous-évalué par rapport aux exigences et au périmètre de l’audit qui est demandé (un seuil plancher est fixé à 10 000 Euros pour les projets de petite taille).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pStyle w:val="Paragraphedeliste"/>
        <w:numPr>
          <w:ilvl w:val="0"/>
          <w:numId w:val="1"/>
        </w:numPr>
        <w:spacing w:line="276" w:lineRule="auto"/>
        <w:contextualSpacing w:val="0"/>
        <w:jc w:val="both"/>
        <w:rPr>
          <w:rFonts w:asciiTheme="majorHAnsi" w:hAnsiTheme="majorHAnsi" w:cstheme="majorHAnsi"/>
          <w:b/>
          <w:sz w:val="22"/>
          <w:szCs w:val="22"/>
          <w:u w:val="single"/>
        </w:rPr>
      </w:pPr>
      <w:r w:rsidRPr="00FE7940">
        <w:rPr>
          <w:rFonts w:asciiTheme="majorHAnsi" w:hAnsiTheme="majorHAnsi" w:cstheme="majorHAnsi"/>
          <w:b/>
          <w:sz w:val="22"/>
          <w:szCs w:val="22"/>
          <w:u w:val="single"/>
        </w:rPr>
        <w:t>Le choix de l’auditeur </w:t>
      </w:r>
    </w:p>
    <w:p w:rsidR="00C948AD" w:rsidRPr="00FE7940" w:rsidRDefault="00C948AD" w:rsidP="00C948AD">
      <w:pPr>
        <w:spacing w:line="276" w:lineRule="auto"/>
        <w:jc w:val="both"/>
        <w:rPr>
          <w:rFonts w:asciiTheme="majorHAnsi" w:hAnsiTheme="majorHAnsi" w:cstheme="majorHAnsi"/>
          <w:b/>
          <w:sz w:val="22"/>
          <w:szCs w:val="22"/>
          <w:highlight w:val="yellow"/>
          <w:u w:val="single"/>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lastRenderedPageBreak/>
        <w:t xml:space="preserve">Le marché d’audit </w:t>
      </w:r>
      <w:r w:rsidR="003B0B83">
        <w:rPr>
          <w:rFonts w:asciiTheme="majorHAnsi" w:hAnsiTheme="majorHAnsi" w:cstheme="majorHAnsi"/>
          <w:sz w:val="22"/>
          <w:szCs w:val="22"/>
        </w:rPr>
        <w:t xml:space="preserve">financier </w:t>
      </w:r>
      <w:r w:rsidRPr="00FE7940">
        <w:rPr>
          <w:rFonts w:asciiTheme="majorHAnsi" w:hAnsiTheme="majorHAnsi" w:cstheme="majorHAnsi"/>
          <w:sz w:val="22"/>
          <w:szCs w:val="22"/>
        </w:rPr>
        <w:t xml:space="preserve">doit être attribué au plus tard dans les 12 premiers mois d’exécution du projet. </w:t>
      </w:r>
      <w:r w:rsidR="003B0B83">
        <w:rPr>
          <w:rFonts w:asciiTheme="majorHAnsi" w:hAnsiTheme="majorHAnsi" w:cstheme="majorHAnsi"/>
          <w:sz w:val="22"/>
          <w:szCs w:val="22"/>
        </w:rPr>
        <w:t>SPC/DPO</w:t>
      </w:r>
      <w:r w:rsidRPr="00FE7940">
        <w:rPr>
          <w:rFonts w:asciiTheme="majorHAnsi" w:hAnsiTheme="majorHAnsi" w:cstheme="majorHAnsi"/>
          <w:sz w:val="22"/>
          <w:szCs w:val="22"/>
        </w:rPr>
        <w:t xml:space="preserve"> donnera son avis de non objection (ANO) sur les termes de référence de l’audit </w:t>
      </w:r>
      <w:r w:rsidR="003B0B83">
        <w:rPr>
          <w:rFonts w:asciiTheme="majorHAnsi" w:hAnsiTheme="majorHAnsi" w:cstheme="majorHAnsi"/>
          <w:sz w:val="22"/>
          <w:szCs w:val="22"/>
        </w:rPr>
        <w:t xml:space="preserve">financier </w:t>
      </w:r>
      <w:r w:rsidRPr="00FE7940">
        <w:rPr>
          <w:rFonts w:asciiTheme="majorHAnsi" w:hAnsiTheme="majorHAnsi" w:cstheme="majorHAnsi"/>
          <w:sz w:val="22"/>
          <w:szCs w:val="22"/>
        </w:rPr>
        <w:t xml:space="preserve">et sur les modalités de sélection. </w:t>
      </w:r>
    </w:p>
    <w:p w:rsidR="00C948AD" w:rsidRPr="00FE7940" w:rsidRDefault="00C948AD" w:rsidP="00C948AD">
      <w:pPr>
        <w:spacing w:line="276" w:lineRule="auto"/>
        <w:jc w:val="both"/>
        <w:rPr>
          <w:rFonts w:asciiTheme="majorHAnsi" w:hAnsiTheme="majorHAnsi" w:cstheme="majorHAnsi"/>
          <w:sz w:val="22"/>
          <w:szCs w:val="22"/>
        </w:rPr>
      </w:pPr>
    </w:p>
    <w:p w:rsidR="00C948AD" w:rsidRPr="003B0B83" w:rsidRDefault="00C948AD" w:rsidP="00C948AD">
      <w:pPr>
        <w:spacing w:line="276" w:lineRule="auto"/>
        <w:jc w:val="both"/>
        <w:rPr>
          <w:rFonts w:asciiTheme="majorHAnsi" w:hAnsiTheme="majorHAnsi" w:cstheme="majorHAnsi"/>
          <w:b/>
          <w:color w:val="8064A2" w:themeColor="accent4"/>
          <w:sz w:val="22"/>
          <w:szCs w:val="22"/>
        </w:rPr>
      </w:pPr>
      <w:r w:rsidRPr="003B0B83">
        <w:rPr>
          <w:rFonts w:asciiTheme="majorHAnsi" w:hAnsiTheme="majorHAnsi" w:cstheme="majorHAnsi"/>
          <w:b/>
          <w:color w:val="8064A2" w:themeColor="accent4"/>
          <w:sz w:val="22"/>
          <w:szCs w:val="22"/>
        </w:rPr>
        <w:t xml:space="preserve">Ces termes de référence devront obligatoirement mentionner l’ensemble des points retenus par </w:t>
      </w:r>
      <w:r w:rsidR="003B0B83" w:rsidRPr="003B0B83">
        <w:rPr>
          <w:rFonts w:asciiTheme="majorHAnsi" w:hAnsiTheme="majorHAnsi" w:cstheme="majorHAnsi"/>
          <w:b/>
          <w:color w:val="8064A2" w:themeColor="accent4"/>
          <w:sz w:val="22"/>
          <w:szCs w:val="22"/>
        </w:rPr>
        <w:t>SPC/DPO</w:t>
      </w:r>
      <w:r w:rsidRPr="003B0B83">
        <w:rPr>
          <w:rFonts w:asciiTheme="majorHAnsi" w:hAnsiTheme="majorHAnsi" w:cstheme="majorHAnsi"/>
          <w:b/>
          <w:color w:val="8064A2" w:themeColor="accent4"/>
          <w:sz w:val="22"/>
          <w:szCs w:val="22"/>
        </w:rPr>
        <w:t xml:space="preserve"> devant faire l’objet d’une vérification par l’auditeur (cf. Liste de vérification). </w:t>
      </w:r>
    </w:p>
    <w:p w:rsidR="003B0B83" w:rsidRPr="003B0B83" w:rsidRDefault="003B0B83" w:rsidP="00C948AD">
      <w:pPr>
        <w:spacing w:line="276" w:lineRule="auto"/>
        <w:jc w:val="both"/>
        <w:rPr>
          <w:rFonts w:asciiTheme="majorHAnsi" w:hAnsiTheme="majorHAnsi" w:cstheme="majorHAnsi"/>
          <w:b/>
          <w:sz w:val="22"/>
          <w:szCs w:val="22"/>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L’OSC doit sélectionner un auditeur ou un cabinet d’audit externe, indépendant, membre d’une organisation nationale d’experts comptables ou de contrôleurs légaux des comptes.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La mission de l’auditeur doit être spécifiquement identifiée et définie dans les termes de référence dédiés à l’audit</w:t>
      </w:r>
      <w:r w:rsidR="003B0B83">
        <w:rPr>
          <w:rFonts w:asciiTheme="majorHAnsi" w:hAnsiTheme="majorHAnsi" w:cstheme="majorHAnsi"/>
          <w:sz w:val="22"/>
          <w:szCs w:val="22"/>
        </w:rPr>
        <w:t xml:space="preserve"> financier</w:t>
      </w:r>
      <w:r w:rsidRPr="00FE7940">
        <w:rPr>
          <w:rFonts w:asciiTheme="majorHAnsi" w:hAnsiTheme="majorHAnsi" w:cstheme="majorHAnsi"/>
          <w:sz w:val="22"/>
          <w:szCs w:val="22"/>
        </w:rPr>
        <w:t xml:space="preserve">.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Si l’audit est mené par le Commissaire aux comptes de l’OSC (ayant au préalable répondu à l’appel d’offres pour l’audit</w:t>
      </w:r>
      <w:r w:rsidR="003B0B83">
        <w:rPr>
          <w:rFonts w:asciiTheme="majorHAnsi" w:hAnsiTheme="majorHAnsi" w:cstheme="majorHAnsi"/>
          <w:sz w:val="22"/>
          <w:szCs w:val="22"/>
        </w:rPr>
        <w:t xml:space="preserve"> financier</w:t>
      </w:r>
      <w:r w:rsidRPr="00FE7940">
        <w:rPr>
          <w:rFonts w:asciiTheme="majorHAnsi" w:hAnsiTheme="majorHAnsi" w:cstheme="majorHAnsi"/>
          <w:sz w:val="22"/>
          <w:szCs w:val="22"/>
        </w:rPr>
        <w:t>), sa prestation d’audit sur le projet cofinancé par l’AFD doit être spécifiquement identifiée et définie dans une lettre de mission</w:t>
      </w:r>
      <w:r w:rsidR="003B0B83">
        <w:rPr>
          <w:rFonts w:asciiTheme="majorHAnsi" w:hAnsiTheme="majorHAnsi" w:cstheme="majorHAnsi"/>
          <w:sz w:val="22"/>
          <w:szCs w:val="22"/>
        </w:rPr>
        <w:t xml:space="preserve"> à laquelle seront annexés l’ensemble des points retenus par SPC/DPO devant faire l’objet d’une vérification par l’auditeur </w:t>
      </w:r>
      <w:r w:rsidR="003B0B83" w:rsidRPr="003B0B83">
        <w:rPr>
          <w:rFonts w:asciiTheme="majorHAnsi" w:hAnsiTheme="majorHAnsi" w:cstheme="majorHAnsi"/>
          <w:sz w:val="22"/>
          <w:szCs w:val="22"/>
        </w:rPr>
        <w:t>(cf. Liste de vérification)</w:t>
      </w:r>
      <w:r w:rsidRPr="003B0B83">
        <w:rPr>
          <w:rFonts w:asciiTheme="majorHAnsi" w:hAnsiTheme="majorHAnsi" w:cstheme="majorHAnsi"/>
          <w:sz w:val="22"/>
          <w:szCs w:val="22"/>
        </w:rPr>
        <w:t xml:space="preserve">.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Dans tous les cas, l’audit </w:t>
      </w:r>
      <w:r w:rsidR="003B0B83">
        <w:rPr>
          <w:rFonts w:asciiTheme="majorHAnsi" w:hAnsiTheme="majorHAnsi" w:cstheme="majorHAnsi"/>
          <w:sz w:val="22"/>
          <w:szCs w:val="22"/>
        </w:rPr>
        <w:t xml:space="preserve">financier </w:t>
      </w:r>
      <w:r w:rsidRPr="00FE7940">
        <w:rPr>
          <w:rFonts w:asciiTheme="majorHAnsi" w:hAnsiTheme="majorHAnsi" w:cstheme="majorHAnsi"/>
          <w:sz w:val="22"/>
          <w:szCs w:val="22"/>
        </w:rPr>
        <w:t xml:space="preserve">en tant que prestation de services est soumis aux règles de passation de marché de l’AFDtelles qu’elles sont spécifiées dans la convention de financement AFD.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pStyle w:val="Paragraphedeliste"/>
        <w:numPr>
          <w:ilvl w:val="0"/>
          <w:numId w:val="1"/>
        </w:numPr>
        <w:spacing w:line="276" w:lineRule="auto"/>
        <w:contextualSpacing w:val="0"/>
        <w:jc w:val="both"/>
        <w:rPr>
          <w:rFonts w:asciiTheme="majorHAnsi" w:hAnsiTheme="majorHAnsi" w:cstheme="majorHAnsi"/>
          <w:b/>
          <w:sz w:val="22"/>
          <w:szCs w:val="22"/>
          <w:u w:val="single"/>
        </w:rPr>
      </w:pPr>
      <w:r w:rsidRPr="00FE7940">
        <w:rPr>
          <w:rFonts w:asciiTheme="majorHAnsi" w:hAnsiTheme="majorHAnsi" w:cstheme="majorHAnsi"/>
          <w:b/>
          <w:sz w:val="22"/>
          <w:szCs w:val="22"/>
          <w:u w:val="single"/>
        </w:rPr>
        <w:t xml:space="preserve">Les deux temps de l’audit pendant le projet </w:t>
      </w:r>
    </w:p>
    <w:p w:rsidR="00C948AD" w:rsidRPr="00FE7940" w:rsidRDefault="00C948AD" w:rsidP="00C948AD">
      <w:pPr>
        <w:spacing w:line="276" w:lineRule="auto"/>
        <w:jc w:val="both"/>
        <w:rPr>
          <w:rFonts w:asciiTheme="majorHAnsi" w:hAnsiTheme="majorHAnsi" w:cstheme="majorHAnsi"/>
          <w:b/>
          <w:sz w:val="22"/>
          <w:szCs w:val="22"/>
          <w:u w:val="single"/>
        </w:rPr>
      </w:pPr>
    </w:p>
    <w:p w:rsidR="00C948AD" w:rsidRPr="00FE7940" w:rsidRDefault="00C948AD" w:rsidP="00C948AD">
      <w:pPr>
        <w:spacing w:line="276" w:lineRule="auto"/>
        <w:jc w:val="both"/>
        <w:rPr>
          <w:rFonts w:asciiTheme="majorHAnsi" w:hAnsiTheme="majorHAnsi" w:cstheme="majorHAnsi"/>
          <w:b/>
          <w:color w:val="1F497D" w:themeColor="text2"/>
          <w:sz w:val="22"/>
          <w:szCs w:val="22"/>
          <w:u w:val="single"/>
        </w:rPr>
      </w:pPr>
      <w:r w:rsidRPr="00FE7940">
        <w:rPr>
          <w:rFonts w:asciiTheme="majorHAnsi" w:hAnsiTheme="majorHAnsi" w:cstheme="majorHAnsi"/>
          <w:b/>
          <w:color w:val="1F497D" w:themeColor="text2"/>
          <w:sz w:val="22"/>
          <w:szCs w:val="22"/>
          <w:u w:val="single"/>
        </w:rPr>
        <w:t xml:space="preserve">Premier temps : La réunion de cadrage avec l’auditeur </w:t>
      </w:r>
    </w:p>
    <w:p w:rsidR="00C948AD" w:rsidRPr="00FE7940" w:rsidRDefault="00C948AD" w:rsidP="00C948AD">
      <w:pPr>
        <w:spacing w:line="276" w:lineRule="auto"/>
        <w:jc w:val="both"/>
        <w:rPr>
          <w:rFonts w:asciiTheme="majorHAnsi" w:hAnsiTheme="majorHAnsi" w:cstheme="majorHAnsi"/>
          <w:b/>
          <w:sz w:val="22"/>
          <w:szCs w:val="22"/>
          <w:u w:val="single"/>
        </w:rPr>
      </w:pPr>
    </w:p>
    <w:p w:rsidR="00C948AD" w:rsidRPr="00FE7940" w:rsidRDefault="00C948AD" w:rsidP="00C948AD">
      <w:pPr>
        <w:spacing w:line="276" w:lineRule="auto"/>
        <w:jc w:val="both"/>
        <w:rPr>
          <w:rFonts w:asciiTheme="majorHAnsi" w:hAnsiTheme="majorHAnsi" w:cstheme="majorHAnsi"/>
          <w:sz w:val="22"/>
          <w:szCs w:val="22"/>
          <w:u w:val="single"/>
        </w:rPr>
      </w:pPr>
      <w:r w:rsidRPr="00FE7940">
        <w:rPr>
          <w:rFonts w:asciiTheme="majorHAnsi" w:hAnsiTheme="majorHAnsi" w:cstheme="majorHAnsi"/>
          <w:sz w:val="22"/>
          <w:szCs w:val="22"/>
          <w:u w:val="single"/>
        </w:rPr>
        <w:t>Quand et avec qui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Cette réunion n’est pas obligatoire mais elle est fortement recommandée par </w:t>
      </w:r>
      <w:r w:rsidR="003B0B83">
        <w:rPr>
          <w:rFonts w:asciiTheme="majorHAnsi" w:hAnsiTheme="majorHAnsi" w:cstheme="majorHAnsi"/>
          <w:sz w:val="22"/>
          <w:szCs w:val="22"/>
        </w:rPr>
        <w:t>SPC/DPO</w:t>
      </w:r>
      <w:r w:rsidRPr="00FE7940">
        <w:rPr>
          <w:rFonts w:asciiTheme="majorHAnsi" w:hAnsiTheme="majorHAnsi" w:cstheme="majorHAnsi"/>
          <w:sz w:val="22"/>
          <w:szCs w:val="22"/>
        </w:rPr>
        <w:t xml:space="preserve">. Cette réunion a lieu entre l’OSC et l’auditeur le plus tôt possible après le démarrage effectif du projet, dès que le marché d’audit est attribué. Du côté de l’OSC, elle doit a minima réunir le(s) responsable(s) du projet et le(s) référent(s) financier/comptable/juridique du projet. Il s’agit d’une </w:t>
      </w:r>
      <w:r w:rsidRPr="00FE7940">
        <w:rPr>
          <w:rFonts w:asciiTheme="majorHAnsi" w:hAnsiTheme="majorHAnsi" w:cstheme="majorHAnsi"/>
          <w:b/>
          <w:color w:val="8064A2" w:themeColor="accent4"/>
          <w:sz w:val="22"/>
          <w:szCs w:val="22"/>
        </w:rPr>
        <w:t>intervention ponctuelle de l’auditeur</w:t>
      </w:r>
      <w:r w:rsidRPr="00FE7940">
        <w:rPr>
          <w:rFonts w:asciiTheme="majorHAnsi" w:hAnsiTheme="majorHAnsi" w:cstheme="majorHAnsi"/>
          <w:sz w:val="22"/>
          <w:szCs w:val="22"/>
        </w:rPr>
        <w:t xml:space="preserve"> auprès de l’OSC en début de projet, ce dernier n’interviendra ensuite qu’en fin de projet pour la réalisation de l’audit</w:t>
      </w:r>
      <w:r w:rsidR="003B0B83">
        <w:rPr>
          <w:rFonts w:asciiTheme="majorHAnsi" w:hAnsiTheme="majorHAnsi" w:cstheme="majorHAnsi"/>
          <w:sz w:val="22"/>
          <w:szCs w:val="22"/>
        </w:rPr>
        <w:t xml:space="preserve"> financier</w:t>
      </w:r>
      <w:r w:rsidRPr="00FE7940">
        <w:rPr>
          <w:rFonts w:asciiTheme="majorHAnsi" w:hAnsiTheme="majorHAnsi" w:cstheme="majorHAnsi"/>
          <w:sz w:val="22"/>
          <w:szCs w:val="22"/>
        </w:rPr>
        <w:t xml:space="preserve">.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u w:val="single"/>
        </w:rPr>
      </w:pPr>
      <w:r w:rsidRPr="00FE7940">
        <w:rPr>
          <w:rFonts w:asciiTheme="majorHAnsi" w:hAnsiTheme="majorHAnsi" w:cstheme="majorHAnsi"/>
          <w:sz w:val="22"/>
          <w:szCs w:val="22"/>
          <w:u w:val="single"/>
        </w:rPr>
        <w:t>Quel est sa visée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L’objectif principal de cette réunion est une </w:t>
      </w:r>
      <w:r w:rsidRPr="00FE7940">
        <w:rPr>
          <w:rFonts w:asciiTheme="majorHAnsi" w:hAnsiTheme="majorHAnsi" w:cstheme="majorHAnsi"/>
          <w:b/>
          <w:color w:val="8064A2" w:themeColor="accent4"/>
          <w:sz w:val="22"/>
          <w:szCs w:val="22"/>
        </w:rPr>
        <w:t>bonne compréhension par l’OSC du périmètre et des modalités de contrôle de l’audit.</w:t>
      </w:r>
      <w:r w:rsidRPr="00FE7940">
        <w:rPr>
          <w:rFonts w:asciiTheme="majorHAnsi" w:hAnsiTheme="majorHAnsi" w:cstheme="majorHAnsi"/>
          <w:sz w:val="22"/>
          <w:szCs w:val="22"/>
        </w:rPr>
        <w:t xml:space="preserve"> Elle doit lui permettre de renforcer les procédures internes indispensables au respect de ses obligations contractuelles afin, à terme, de faciliter le travail de contrôle de l’auditeur et de </w:t>
      </w:r>
      <w:r w:rsidRPr="00FE7940">
        <w:rPr>
          <w:rFonts w:asciiTheme="majorHAnsi" w:hAnsiTheme="majorHAnsi" w:cstheme="majorHAnsi"/>
          <w:b/>
          <w:color w:val="8064A2" w:themeColor="accent4"/>
          <w:sz w:val="22"/>
          <w:szCs w:val="22"/>
        </w:rPr>
        <w:t>limiter au maximum le taux de dépenses inéligibles constatées en fin d’exécution de projet.</w:t>
      </w:r>
      <w:r w:rsidRPr="00FE7940">
        <w:rPr>
          <w:rFonts w:asciiTheme="majorHAnsi" w:hAnsiTheme="majorHAnsi" w:cstheme="majorHAnsi"/>
          <w:sz w:val="22"/>
          <w:szCs w:val="22"/>
        </w:rPr>
        <w:t xml:space="preserve"> Cette réunion peut également permettre à l’auditeur d’émettre des recommandations à l’OSC en début de projet. </w:t>
      </w:r>
    </w:p>
    <w:p w:rsidR="00C948AD" w:rsidRPr="00FE7940" w:rsidRDefault="00C948AD" w:rsidP="00C948AD">
      <w:pPr>
        <w:spacing w:line="276" w:lineRule="auto"/>
        <w:jc w:val="both"/>
        <w:rPr>
          <w:rFonts w:asciiTheme="majorHAnsi" w:hAnsiTheme="majorHAnsi" w:cstheme="majorHAnsi"/>
          <w:sz w:val="22"/>
          <w:szCs w:val="22"/>
        </w:rPr>
      </w:pPr>
    </w:p>
    <w:p w:rsidR="00C948AD"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lastRenderedPageBreak/>
        <w:t>Attention : l’échantillonnage des dépenses auditées ne doit en aucun cas être réalisé à ce stade, le principe et les modalités d’échantillonnage (% des dépenses, ventilation par rubrique budgétaire, sélection aléatoire, etc.) pourront être expliqués par l’auditeur mais ce dernier ne réalisera effectivement l’échantillonnage que lors de l’audit</w:t>
      </w:r>
      <w:r w:rsidR="00FB027E">
        <w:rPr>
          <w:rFonts w:asciiTheme="majorHAnsi" w:hAnsiTheme="majorHAnsi" w:cstheme="majorHAnsi"/>
          <w:sz w:val="22"/>
          <w:szCs w:val="22"/>
        </w:rPr>
        <w:t xml:space="preserve"> financier</w:t>
      </w:r>
      <w:r w:rsidRPr="00FE7940">
        <w:rPr>
          <w:rFonts w:asciiTheme="majorHAnsi" w:hAnsiTheme="majorHAnsi" w:cstheme="majorHAnsi"/>
          <w:sz w:val="22"/>
          <w:szCs w:val="22"/>
        </w:rPr>
        <w:t>, en fin de projet.</w:t>
      </w:r>
    </w:p>
    <w:p w:rsidR="00FB027E" w:rsidRPr="00FE7940" w:rsidRDefault="00FB027E"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u w:val="single"/>
        </w:rPr>
      </w:pPr>
      <w:r w:rsidRPr="00FE7940">
        <w:rPr>
          <w:rFonts w:asciiTheme="majorHAnsi" w:hAnsiTheme="majorHAnsi" w:cstheme="majorHAnsi"/>
          <w:sz w:val="22"/>
          <w:szCs w:val="22"/>
          <w:u w:val="single"/>
        </w:rPr>
        <w:t>Comment la préparer ?</w:t>
      </w:r>
    </w:p>
    <w:p w:rsidR="00C948AD" w:rsidRPr="00FE7940" w:rsidRDefault="00C948AD" w:rsidP="00C948AD">
      <w:pPr>
        <w:spacing w:line="276" w:lineRule="auto"/>
        <w:jc w:val="both"/>
        <w:rPr>
          <w:rFonts w:asciiTheme="majorHAnsi" w:hAnsiTheme="majorHAnsi" w:cstheme="majorHAnsi"/>
          <w:sz w:val="22"/>
          <w:szCs w:val="22"/>
          <w:u w:val="single"/>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Afin que la réunion soit la plus efficace et constructive possible, l’OSC transmettra en amont de la réunion les documents que l’auditeur lui aura demandé (par exemple : statuts de l’OSC, comptes et rapports d’activité de l’OSC, convention de financement AFD et ses éventuels avenants, convention de parte</w:t>
      </w:r>
      <w:r w:rsidR="00FB027E">
        <w:rPr>
          <w:rFonts w:asciiTheme="majorHAnsi" w:hAnsiTheme="majorHAnsi" w:cstheme="majorHAnsi"/>
          <w:sz w:val="22"/>
          <w:szCs w:val="22"/>
        </w:rPr>
        <w:t>nariat, document projet (NIONG</w:t>
      </w:r>
      <w:r w:rsidRPr="00FE7940">
        <w:rPr>
          <w:rFonts w:asciiTheme="majorHAnsi" w:hAnsiTheme="majorHAnsi" w:cstheme="majorHAnsi"/>
          <w:sz w:val="22"/>
          <w:szCs w:val="22"/>
        </w:rPr>
        <w:t xml:space="preserve">), guide </w:t>
      </w:r>
      <w:r w:rsidR="00FB027E">
        <w:rPr>
          <w:rFonts w:asciiTheme="majorHAnsi" w:hAnsiTheme="majorHAnsi" w:cstheme="majorHAnsi"/>
          <w:sz w:val="22"/>
          <w:szCs w:val="22"/>
        </w:rPr>
        <w:t>méthodologique</w:t>
      </w:r>
      <w:r w:rsidRPr="00FE7940">
        <w:rPr>
          <w:rFonts w:asciiTheme="majorHAnsi" w:hAnsiTheme="majorHAnsi" w:cstheme="majorHAnsi"/>
          <w:sz w:val="22"/>
          <w:szCs w:val="22"/>
        </w:rPr>
        <w:t>, plan de passation de marché, etc.).</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u w:val="single"/>
        </w:rPr>
      </w:pPr>
      <w:r w:rsidRPr="00FE7940">
        <w:rPr>
          <w:rFonts w:asciiTheme="majorHAnsi" w:hAnsiTheme="majorHAnsi" w:cstheme="majorHAnsi"/>
          <w:sz w:val="22"/>
          <w:szCs w:val="22"/>
          <w:u w:val="single"/>
        </w:rPr>
        <w:t xml:space="preserve">Quels points doivent être abordés ? </w:t>
      </w:r>
    </w:p>
    <w:p w:rsidR="00C948AD" w:rsidRPr="00FE7940" w:rsidRDefault="00C948AD" w:rsidP="00C948AD">
      <w:pPr>
        <w:spacing w:line="276" w:lineRule="auto"/>
        <w:jc w:val="both"/>
        <w:rPr>
          <w:rFonts w:asciiTheme="majorHAnsi" w:hAnsiTheme="majorHAnsi" w:cstheme="majorHAnsi"/>
          <w:sz w:val="22"/>
          <w:szCs w:val="22"/>
          <w:u w:val="single"/>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L’ordre du jour de la réunion est laissé à l’appréciation de chaque auditeur. Si une réunion de cadrage est prévue,  </w:t>
      </w:r>
      <w:r w:rsidR="00FB027E">
        <w:rPr>
          <w:rFonts w:asciiTheme="majorHAnsi" w:hAnsiTheme="majorHAnsi" w:cstheme="majorHAnsi"/>
          <w:sz w:val="22"/>
          <w:szCs w:val="22"/>
        </w:rPr>
        <w:t>SPC/DPO</w:t>
      </w:r>
      <w:r w:rsidRPr="00FE7940">
        <w:rPr>
          <w:rFonts w:asciiTheme="majorHAnsi" w:hAnsiTheme="majorHAnsi" w:cstheme="majorHAnsi"/>
          <w:sz w:val="22"/>
          <w:szCs w:val="22"/>
        </w:rPr>
        <w:t xml:space="preserve"> souhaite qu’a minima les points suivants soient abordés : </w:t>
      </w:r>
    </w:p>
    <w:p w:rsidR="00C948AD" w:rsidRPr="00FE7940" w:rsidRDefault="00C948AD" w:rsidP="00C948AD">
      <w:pPr>
        <w:pStyle w:val="Paragraphedeliste"/>
        <w:numPr>
          <w:ilvl w:val="0"/>
          <w:numId w:val="3"/>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Les obligations contractuelles de l’OSC auprès de l’AFD</w:t>
      </w:r>
      <w:r w:rsidRPr="00FE7940">
        <w:rPr>
          <w:rFonts w:asciiTheme="majorHAnsi" w:hAnsiTheme="majorHAnsi" w:cstheme="majorHAnsi"/>
          <w:sz w:val="22"/>
          <w:szCs w:val="22"/>
        </w:rPr>
        <w:t>au titre de la convention (calendrier, éligibilité des dépenses, passation de marché, rapports d’activités, accords de partenariat, etc.);</w:t>
      </w:r>
    </w:p>
    <w:p w:rsidR="00C948AD" w:rsidRPr="00FE7940" w:rsidRDefault="00C948AD" w:rsidP="00C948AD">
      <w:pPr>
        <w:pStyle w:val="Paragraphedeliste"/>
        <w:numPr>
          <w:ilvl w:val="0"/>
          <w:numId w:val="3"/>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Le périmètre et la nature du projet</w:t>
      </w:r>
      <w:r w:rsidRPr="00FE7940">
        <w:rPr>
          <w:rFonts w:asciiTheme="majorHAnsi" w:hAnsiTheme="majorHAnsi" w:cstheme="majorHAnsi"/>
          <w:sz w:val="22"/>
          <w:szCs w:val="22"/>
        </w:rPr>
        <w:t xml:space="preserve"> cofinancé par l’AFD ;</w:t>
      </w:r>
    </w:p>
    <w:p w:rsidR="00C948AD" w:rsidRPr="00FE7940" w:rsidRDefault="00C948AD" w:rsidP="00C948AD">
      <w:pPr>
        <w:pStyle w:val="Paragraphedeliste"/>
        <w:numPr>
          <w:ilvl w:val="0"/>
          <w:numId w:val="3"/>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La nature des partenariats</w:t>
      </w:r>
      <w:r w:rsidRPr="00FE7940">
        <w:rPr>
          <w:rFonts w:asciiTheme="majorHAnsi" w:hAnsiTheme="majorHAnsi" w:cstheme="majorHAnsi"/>
          <w:sz w:val="22"/>
          <w:szCs w:val="22"/>
        </w:rPr>
        <w:t>dans le cadre du projet ;</w:t>
      </w:r>
    </w:p>
    <w:p w:rsidR="00C948AD" w:rsidRPr="00FE7940" w:rsidRDefault="00C948AD" w:rsidP="00C948AD">
      <w:pPr>
        <w:pStyle w:val="Paragraphedeliste"/>
        <w:numPr>
          <w:ilvl w:val="0"/>
          <w:numId w:val="3"/>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Les modalités de passation des marchés</w:t>
      </w:r>
      <w:r w:rsidRPr="00FE7940">
        <w:rPr>
          <w:rFonts w:asciiTheme="majorHAnsi" w:hAnsiTheme="majorHAnsi" w:cstheme="majorHAnsi"/>
          <w:sz w:val="22"/>
          <w:szCs w:val="22"/>
        </w:rPr>
        <w:t>envisagées par l’OSC dans le cadre du projet (la transmission à l’auditeur par l’OSC d’un plan de passation de marché indicatif est encouragée, ce plan est un document qui liste tous les marchés à passer ou en cours de passation dans le cadre du projet avec les informations clé afférentes) (cf. modèle sur le site internet de l’AFD) ;</w:t>
      </w:r>
    </w:p>
    <w:p w:rsidR="00C948AD" w:rsidRPr="00FE7940" w:rsidRDefault="00C948AD" w:rsidP="00C948AD">
      <w:pPr>
        <w:pStyle w:val="Paragraphedeliste"/>
        <w:numPr>
          <w:ilvl w:val="0"/>
          <w:numId w:val="3"/>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Le dispositif de financement du projet</w:t>
      </w:r>
      <w:r w:rsidRPr="00FE7940">
        <w:rPr>
          <w:rFonts w:asciiTheme="majorHAnsi" w:hAnsiTheme="majorHAnsi" w:cstheme="majorHAnsi"/>
          <w:sz w:val="22"/>
          <w:szCs w:val="22"/>
        </w:rPr>
        <w:t>(nature des cofinancements, taux de cofinancement, modalités de versement, etc.) ;</w:t>
      </w:r>
    </w:p>
    <w:p w:rsidR="00C948AD" w:rsidRPr="00FE7940" w:rsidRDefault="00C948AD" w:rsidP="00C948AD">
      <w:pPr>
        <w:pStyle w:val="Paragraphedeliste"/>
        <w:numPr>
          <w:ilvl w:val="0"/>
          <w:numId w:val="3"/>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Les modalités de traçabilité financière et comptable</w:t>
      </w:r>
      <w:r w:rsidRPr="00FE7940">
        <w:rPr>
          <w:rFonts w:asciiTheme="majorHAnsi" w:hAnsiTheme="majorHAnsi" w:cstheme="majorHAnsi"/>
          <w:sz w:val="22"/>
          <w:szCs w:val="22"/>
        </w:rPr>
        <w:t>du projet et les modalités de contrôle interne de l’OSC.</w:t>
      </w:r>
    </w:p>
    <w:p w:rsidR="00C948AD" w:rsidRPr="00FE7940" w:rsidRDefault="00C948AD" w:rsidP="00C948AD">
      <w:pPr>
        <w:pStyle w:val="Paragraphedeliste"/>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u w:val="single"/>
        </w:rPr>
      </w:pPr>
      <w:r w:rsidRPr="00FE7940">
        <w:rPr>
          <w:rFonts w:asciiTheme="majorHAnsi" w:hAnsiTheme="majorHAnsi" w:cstheme="majorHAnsi"/>
          <w:sz w:val="22"/>
          <w:szCs w:val="22"/>
          <w:u w:val="single"/>
        </w:rPr>
        <w:t xml:space="preserve">Qu’est-ce que cette réunion doit apporter ?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A l’auditeur : </w:t>
      </w:r>
    </w:p>
    <w:p w:rsidR="00C948AD" w:rsidRPr="00FE7940" w:rsidRDefault="00C948AD" w:rsidP="00C948AD">
      <w:pPr>
        <w:pStyle w:val="Paragraphedeliste"/>
        <w:numPr>
          <w:ilvl w:val="0"/>
          <w:numId w:val="2"/>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sz w:val="22"/>
          <w:szCs w:val="22"/>
        </w:rPr>
        <w:t xml:space="preserve">acquérir une connaissance suffisante des modalités organisationnelles, du processus informationnel et comptable du projet ; </w:t>
      </w:r>
    </w:p>
    <w:p w:rsidR="00C948AD" w:rsidRPr="00FE7940" w:rsidRDefault="00C948AD" w:rsidP="00C948AD">
      <w:pPr>
        <w:pStyle w:val="Paragraphedeliste"/>
        <w:numPr>
          <w:ilvl w:val="0"/>
          <w:numId w:val="2"/>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avoir identifié les faiblesses et les facteurs de risque</w:t>
      </w:r>
      <w:r w:rsidRPr="00FE7940">
        <w:rPr>
          <w:rFonts w:asciiTheme="majorHAnsi" w:hAnsiTheme="majorHAnsi" w:cstheme="majorHAnsi"/>
          <w:sz w:val="22"/>
          <w:szCs w:val="22"/>
        </w:rPr>
        <w:t>en fonction de la nature du projet et du type de partenariat ;</w:t>
      </w:r>
    </w:p>
    <w:p w:rsidR="00C948AD" w:rsidRPr="00FE7940" w:rsidRDefault="00C948AD" w:rsidP="00C948AD">
      <w:pPr>
        <w:pStyle w:val="Paragraphedeliste"/>
        <w:numPr>
          <w:ilvl w:val="0"/>
          <w:numId w:val="2"/>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avoir identifié les points de contrôle centraux et spécifiques</w:t>
      </w:r>
      <w:r w:rsidRPr="00FE7940">
        <w:rPr>
          <w:rFonts w:asciiTheme="majorHAnsi" w:hAnsiTheme="majorHAnsi" w:cstheme="majorHAnsi"/>
          <w:sz w:val="22"/>
          <w:szCs w:val="22"/>
        </w:rPr>
        <w:t>à effectuer ;</w:t>
      </w:r>
    </w:p>
    <w:p w:rsidR="00C948AD" w:rsidRPr="00FE7940" w:rsidRDefault="00C948AD" w:rsidP="00C948AD">
      <w:pPr>
        <w:pStyle w:val="Paragraphedeliste"/>
        <w:numPr>
          <w:ilvl w:val="0"/>
          <w:numId w:val="2"/>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avoir identifié les modalités de traçabilité de l’information financière</w:t>
      </w:r>
      <w:r w:rsidRPr="00FE7940">
        <w:rPr>
          <w:rFonts w:asciiTheme="majorHAnsi" w:hAnsiTheme="majorHAnsi" w:cstheme="majorHAnsi"/>
          <w:sz w:val="22"/>
          <w:szCs w:val="22"/>
        </w:rPr>
        <w:t xml:space="preserve"> et comptable de l’OSC.</w:t>
      </w:r>
    </w:p>
    <w:p w:rsidR="00C948AD" w:rsidRPr="00FE7940" w:rsidRDefault="00C948AD" w:rsidP="00C948AD">
      <w:pPr>
        <w:pStyle w:val="Paragraphedeliste"/>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A l’OSC : </w:t>
      </w:r>
    </w:p>
    <w:p w:rsidR="00C948AD" w:rsidRPr="00FE7940" w:rsidRDefault="00C948AD" w:rsidP="00C948AD">
      <w:pPr>
        <w:pStyle w:val="Paragraphedeliste"/>
        <w:numPr>
          <w:ilvl w:val="0"/>
          <w:numId w:val="2"/>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maîtriser ses obligations contractuelles vis-à-vis de l’AFD</w:t>
      </w:r>
      <w:r w:rsidRPr="00FE7940">
        <w:rPr>
          <w:rFonts w:asciiTheme="majorHAnsi" w:hAnsiTheme="majorHAnsi" w:cstheme="majorHAnsi"/>
          <w:sz w:val="22"/>
          <w:szCs w:val="22"/>
        </w:rPr>
        <w:t>et leurs implications dans la mise en œuvre concrète du projet ;</w:t>
      </w:r>
    </w:p>
    <w:p w:rsidR="00C948AD" w:rsidRPr="00FE7940" w:rsidRDefault="00C948AD" w:rsidP="00C948AD">
      <w:pPr>
        <w:pStyle w:val="Paragraphedeliste"/>
        <w:numPr>
          <w:ilvl w:val="0"/>
          <w:numId w:val="2"/>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sz w:val="22"/>
          <w:szCs w:val="22"/>
        </w:rPr>
        <w:lastRenderedPageBreak/>
        <w:t>avoir identifié dans son mode de gestion les éventuelles zones de risques pouvant contrevenir aux respects de ses obligations et avoir défini la manière d’y remédier ;</w:t>
      </w:r>
    </w:p>
    <w:p w:rsidR="00C948AD" w:rsidRPr="00FE7940" w:rsidRDefault="00C948AD" w:rsidP="00C948AD">
      <w:pPr>
        <w:pStyle w:val="Paragraphedeliste"/>
        <w:numPr>
          <w:ilvl w:val="0"/>
          <w:numId w:val="2"/>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avoir identifié les bonnes pratiques</w:t>
      </w:r>
      <w:r w:rsidRPr="00FE7940">
        <w:rPr>
          <w:rFonts w:asciiTheme="majorHAnsi" w:hAnsiTheme="majorHAnsi" w:cstheme="majorHAnsi"/>
          <w:sz w:val="22"/>
          <w:szCs w:val="22"/>
        </w:rPr>
        <w:t>notamment au niveau de la traçabilité de l’information du projet (exemple : la mise en place d’un suivi analytique pour le projet, feuilles de temps, feuilles de paie, etc.) et des passations de marché ;</w:t>
      </w:r>
    </w:p>
    <w:p w:rsidR="00C948AD" w:rsidRPr="00FE7940" w:rsidRDefault="00C948AD" w:rsidP="00C948AD">
      <w:pPr>
        <w:pStyle w:val="Paragraphedeliste"/>
        <w:numPr>
          <w:ilvl w:val="0"/>
          <w:numId w:val="2"/>
        </w:numPr>
        <w:spacing w:line="276" w:lineRule="auto"/>
        <w:ind w:left="360"/>
        <w:contextualSpacing w:val="0"/>
        <w:jc w:val="both"/>
        <w:rPr>
          <w:rFonts w:asciiTheme="majorHAnsi" w:hAnsiTheme="majorHAnsi" w:cstheme="majorHAnsi"/>
          <w:sz w:val="22"/>
          <w:szCs w:val="22"/>
        </w:rPr>
      </w:pPr>
      <w:r w:rsidRPr="00FE7940">
        <w:rPr>
          <w:rFonts w:asciiTheme="majorHAnsi" w:hAnsiTheme="majorHAnsi" w:cstheme="majorHAnsi"/>
          <w:b/>
          <w:color w:val="8064A2" w:themeColor="accent4"/>
          <w:sz w:val="22"/>
          <w:szCs w:val="22"/>
        </w:rPr>
        <w:t xml:space="preserve">avoir compris comment l’audit </w:t>
      </w:r>
      <w:r w:rsidR="00FB027E">
        <w:rPr>
          <w:rFonts w:asciiTheme="majorHAnsi" w:hAnsiTheme="majorHAnsi" w:cstheme="majorHAnsi"/>
          <w:b/>
          <w:color w:val="8064A2" w:themeColor="accent4"/>
          <w:sz w:val="22"/>
          <w:szCs w:val="22"/>
        </w:rPr>
        <w:t xml:space="preserve">financier </w:t>
      </w:r>
      <w:r w:rsidRPr="00FE7940">
        <w:rPr>
          <w:rFonts w:asciiTheme="majorHAnsi" w:hAnsiTheme="majorHAnsi" w:cstheme="majorHAnsi"/>
          <w:b/>
          <w:color w:val="8064A2" w:themeColor="accent4"/>
          <w:sz w:val="22"/>
          <w:szCs w:val="22"/>
        </w:rPr>
        <w:t>va être mené</w:t>
      </w:r>
      <w:r w:rsidRPr="00FE7940">
        <w:rPr>
          <w:rFonts w:asciiTheme="majorHAnsi" w:hAnsiTheme="majorHAnsi" w:cstheme="majorHAnsi"/>
          <w:sz w:val="22"/>
          <w:szCs w:val="22"/>
        </w:rPr>
        <w:t xml:space="preserve">, ce qui est attendu et comment elle peut travailler efficacement avec l’auditeur. </w:t>
      </w:r>
    </w:p>
    <w:p w:rsidR="00C948AD" w:rsidRPr="00FE7940" w:rsidRDefault="00C948AD" w:rsidP="00C948AD">
      <w:pPr>
        <w:spacing w:line="276" w:lineRule="auto"/>
        <w:jc w:val="both"/>
        <w:rPr>
          <w:rFonts w:asciiTheme="majorHAnsi" w:hAnsiTheme="majorHAnsi" w:cstheme="majorHAnsi"/>
          <w:sz w:val="22"/>
          <w:szCs w:val="22"/>
          <w:u w:val="single"/>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A l’issue de cette réunion,l’auditeur rédigera, en toute indépendance, </w:t>
      </w:r>
      <w:r w:rsidRPr="00FE7940">
        <w:rPr>
          <w:rFonts w:asciiTheme="majorHAnsi" w:hAnsiTheme="majorHAnsi" w:cstheme="majorHAnsi"/>
          <w:b/>
          <w:color w:val="8064A2" w:themeColor="accent4"/>
          <w:sz w:val="22"/>
          <w:szCs w:val="22"/>
        </w:rPr>
        <w:t>une note de cadrage</w:t>
      </w:r>
      <w:r w:rsidRPr="00FE7940">
        <w:rPr>
          <w:rFonts w:asciiTheme="majorHAnsi" w:hAnsiTheme="majorHAnsi" w:cstheme="majorHAnsi"/>
          <w:sz w:val="22"/>
          <w:szCs w:val="22"/>
        </w:rPr>
        <w:t>qui consignera ses principales recommandations pour la mise en œuvre du futur audit. Cette note sera transmise à l’OSC.</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Lors de la réunion obligatoire à mi-parcours du projet, l’OSC pourra présenter à </w:t>
      </w:r>
      <w:r w:rsidR="00FB027E">
        <w:rPr>
          <w:rFonts w:asciiTheme="majorHAnsi" w:hAnsiTheme="majorHAnsi" w:cstheme="majorHAnsi"/>
          <w:sz w:val="22"/>
          <w:szCs w:val="22"/>
        </w:rPr>
        <w:t>SPC/DPO</w:t>
      </w:r>
      <w:r w:rsidRPr="00FE7940">
        <w:rPr>
          <w:rFonts w:asciiTheme="majorHAnsi" w:hAnsiTheme="majorHAnsi" w:cstheme="majorHAnsi"/>
          <w:sz w:val="22"/>
          <w:szCs w:val="22"/>
        </w:rPr>
        <w:t xml:space="preserve"> le contenu de la note de cadrage et les actions entreprises par l’OSC pour satisfaire les recommandations de l’auditeur.</w:t>
      </w:r>
    </w:p>
    <w:p w:rsidR="00C948AD" w:rsidRPr="00FE7940" w:rsidRDefault="00C948AD" w:rsidP="00C948AD">
      <w:pPr>
        <w:pStyle w:val="Default"/>
        <w:spacing w:line="276" w:lineRule="auto"/>
        <w:jc w:val="both"/>
        <w:rPr>
          <w:rFonts w:asciiTheme="majorHAnsi" w:hAnsiTheme="majorHAnsi" w:cstheme="majorHAnsi"/>
          <w:color w:val="auto"/>
          <w:sz w:val="22"/>
          <w:szCs w:val="22"/>
        </w:rPr>
      </w:pPr>
    </w:p>
    <w:p w:rsidR="00C948AD" w:rsidRPr="00FE7940" w:rsidRDefault="00C948AD" w:rsidP="00C948AD">
      <w:pPr>
        <w:spacing w:line="276" w:lineRule="auto"/>
        <w:jc w:val="both"/>
        <w:rPr>
          <w:rFonts w:asciiTheme="majorHAnsi" w:hAnsiTheme="majorHAnsi" w:cstheme="majorHAnsi"/>
          <w:b/>
          <w:color w:val="1F497D" w:themeColor="text2"/>
          <w:sz w:val="22"/>
          <w:szCs w:val="22"/>
          <w:u w:val="single"/>
        </w:rPr>
      </w:pPr>
      <w:r w:rsidRPr="00FE7940">
        <w:rPr>
          <w:rFonts w:asciiTheme="majorHAnsi" w:hAnsiTheme="majorHAnsi" w:cstheme="majorHAnsi"/>
          <w:b/>
          <w:color w:val="1F497D" w:themeColor="text2"/>
          <w:sz w:val="22"/>
          <w:szCs w:val="22"/>
          <w:u w:val="single"/>
        </w:rPr>
        <w:t>Deuxième temps : La réalisation et la restitution de l’audit </w:t>
      </w:r>
      <w:r w:rsidR="00FB027E">
        <w:rPr>
          <w:rFonts w:asciiTheme="majorHAnsi" w:hAnsiTheme="majorHAnsi" w:cstheme="majorHAnsi"/>
          <w:b/>
          <w:color w:val="1F497D" w:themeColor="text2"/>
          <w:sz w:val="22"/>
          <w:szCs w:val="22"/>
          <w:u w:val="single"/>
        </w:rPr>
        <w:t>financier</w:t>
      </w:r>
    </w:p>
    <w:p w:rsidR="00C948AD" w:rsidRPr="00FE7940" w:rsidRDefault="00C948AD" w:rsidP="00C948AD">
      <w:pPr>
        <w:spacing w:line="276" w:lineRule="auto"/>
        <w:jc w:val="both"/>
        <w:rPr>
          <w:rFonts w:asciiTheme="majorHAnsi" w:hAnsiTheme="majorHAnsi" w:cstheme="majorHAnsi"/>
          <w:b/>
          <w:sz w:val="22"/>
          <w:szCs w:val="22"/>
          <w:u w:val="single"/>
        </w:rPr>
      </w:pPr>
    </w:p>
    <w:p w:rsidR="00C948AD" w:rsidRPr="00FE7940"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L’auditeur réalise sa mission de vérification à la fin du projet et rédige un rapport. </w:t>
      </w: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b/>
          <w:color w:val="8064A2" w:themeColor="accent4"/>
          <w:sz w:val="22"/>
          <w:szCs w:val="22"/>
        </w:rPr>
      </w:pPr>
      <w:r w:rsidRPr="00FE7940">
        <w:rPr>
          <w:rFonts w:asciiTheme="majorHAnsi" w:hAnsiTheme="majorHAnsi" w:cstheme="majorHAnsi"/>
          <w:b/>
          <w:color w:val="8064A2" w:themeColor="accent4"/>
          <w:sz w:val="22"/>
          <w:szCs w:val="22"/>
        </w:rPr>
        <w:t xml:space="preserve">L’OSC doit transmettre à </w:t>
      </w:r>
      <w:r w:rsidR="00FB027E">
        <w:rPr>
          <w:rFonts w:asciiTheme="majorHAnsi" w:hAnsiTheme="majorHAnsi" w:cstheme="majorHAnsi"/>
          <w:b/>
          <w:color w:val="8064A2" w:themeColor="accent4"/>
          <w:sz w:val="22"/>
          <w:szCs w:val="22"/>
        </w:rPr>
        <w:t>SPC/DPO</w:t>
      </w:r>
      <w:r w:rsidRPr="00FE7940">
        <w:rPr>
          <w:rFonts w:asciiTheme="majorHAnsi" w:hAnsiTheme="majorHAnsi" w:cstheme="majorHAnsi"/>
          <w:b/>
          <w:color w:val="8064A2" w:themeColor="accent4"/>
          <w:sz w:val="22"/>
          <w:szCs w:val="22"/>
        </w:rPr>
        <w:t xml:space="preserve"> le rapport d’audit </w:t>
      </w:r>
      <w:r w:rsidR="00FB027E">
        <w:rPr>
          <w:rFonts w:asciiTheme="majorHAnsi" w:hAnsiTheme="majorHAnsi" w:cstheme="majorHAnsi"/>
          <w:b/>
          <w:color w:val="8064A2" w:themeColor="accent4"/>
          <w:sz w:val="22"/>
          <w:szCs w:val="22"/>
        </w:rPr>
        <w:t xml:space="preserve">financier </w:t>
      </w:r>
      <w:r w:rsidRPr="00FE7940">
        <w:rPr>
          <w:rFonts w:asciiTheme="majorHAnsi" w:hAnsiTheme="majorHAnsi" w:cstheme="majorHAnsi"/>
          <w:b/>
          <w:color w:val="8064A2" w:themeColor="accent4"/>
          <w:sz w:val="22"/>
          <w:szCs w:val="22"/>
        </w:rPr>
        <w:t xml:space="preserve">au plus tard 6 mois après la date de clôture effective du projet. </w:t>
      </w:r>
    </w:p>
    <w:p w:rsidR="00C948AD" w:rsidRPr="00FE7940" w:rsidRDefault="00C948AD" w:rsidP="00C948AD">
      <w:pPr>
        <w:spacing w:line="276" w:lineRule="auto"/>
        <w:jc w:val="both"/>
        <w:rPr>
          <w:rFonts w:asciiTheme="majorHAnsi" w:hAnsiTheme="majorHAnsi" w:cstheme="majorHAnsi"/>
          <w:sz w:val="22"/>
          <w:szCs w:val="22"/>
        </w:rPr>
      </w:pPr>
    </w:p>
    <w:p w:rsidR="00FB027E" w:rsidRDefault="00C948AD" w:rsidP="00C948AD">
      <w:pPr>
        <w:spacing w:line="276" w:lineRule="auto"/>
        <w:jc w:val="both"/>
        <w:rPr>
          <w:rFonts w:asciiTheme="majorHAnsi" w:hAnsiTheme="majorHAnsi" w:cstheme="majorHAnsi"/>
          <w:sz w:val="22"/>
          <w:szCs w:val="22"/>
        </w:rPr>
      </w:pPr>
      <w:r w:rsidRPr="00FE7940">
        <w:rPr>
          <w:rFonts w:asciiTheme="majorHAnsi" w:hAnsiTheme="majorHAnsi" w:cstheme="majorHAnsi"/>
          <w:sz w:val="22"/>
          <w:szCs w:val="22"/>
        </w:rPr>
        <w:t xml:space="preserve">Dans le cas où l’audit indique des dépenses inéligibles, le remboursement des fonds non justifiés à l’AFD doit avoir lieu dans les six mois suivant la date de validation du rapport d’audit par </w:t>
      </w:r>
      <w:r w:rsidR="00FB027E">
        <w:rPr>
          <w:rFonts w:asciiTheme="majorHAnsi" w:hAnsiTheme="majorHAnsi" w:cstheme="majorHAnsi"/>
          <w:sz w:val="22"/>
          <w:szCs w:val="22"/>
        </w:rPr>
        <w:t>SPC/DPO</w:t>
      </w:r>
      <w:r w:rsidRPr="00FE7940">
        <w:rPr>
          <w:rFonts w:asciiTheme="majorHAnsi" w:hAnsiTheme="majorHAnsi" w:cstheme="majorHAnsi"/>
          <w:sz w:val="22"/>
          <w:szCs w:val="22"/>
        </w:rPr>
        <w:t xml:space="preserve">.  </w:t>
      </w:r>
    </w:p>
    <w:p w:rsidR="00C948AD" w:rsidRPr="00FB027E" w:rsidRDefault="00FB027E" w:rsidP="00FB027E">
      <w:pPr>
        <w:spacing w:after="200" w:line="276" w:lineRule="auto"/>
        <w:rPr>
          <w:rFonts w:asciiTheme="majorHAnsi" w:hAnsiTheme="majorHAnsi" w:cstheme="majorHAnsi"/>
          <w:sz w:val="22"/>
          <w:szCs w:val="22"/>
        </w:rPr>
      </w:pPr>
      <w:r>
        <w:rPr>
          <w:rFonts w:asciiTheme="majorHAnsi" w:hAnsiTheme="majorHAnsi" w:cstheme="majorHAnsi"/>
          <w:sz w:val="22"/>
          <w:szCs w:val="22"/>
        </w:rPr>
        <w:br w:type="page"/>
      </w:r>
    </w:p>
    <w:p w:rsidR="00C948AD" w:rsidRPr="00D551FA" w:rsidRDefault="00C948AD" w:rsidP="00C948AD">
      <w:pPr>
        <w:tabs>
          <w:tab w:val="num" w:pos="851"/>
        </w:tabs>
        <w:spacing w:line="276" w:lineRule="auto"/>
        <w:jc w:val="center"/>
        <w:rPr>
          <w:rFonts w:asciiTheme="majorHAnsi" w:hAnsiTheme="majorHAnsi" w:cstheme="majorHAnsi"/>
          <w:b/>
        </w:rPr>
      </w:pPr>
      <w:r w:rsidRPr="00D551FA">
        <w:rPr>
          <w:rFonts w:asciiTheme="majorHAnsi" w:hAnsiTheme="majorHAnsi" w:cstheme="majorHAnsi"/>
          <w:b/>
        </w:rPr>
        <w:lastRenderedPageBreak/>
        <w:t>LISTE DE VERIFICATION AUDIT</w:t>
      </w:r>
      <w:r w:rsidR="00FB027E">
        <w:rPr>
          <w:rFonts w:asciiTheme="majorHAnsi" w:hAnsiTheme="majorHAnsi" w:cstheme="majorHAnsi"/>
          <w:b/>
        </w:rPr>
        <w:t xml:space="preserve"> FINANCIER</w:t>
      </w:r>
    </w:p>
    <w:p w:rsidR="00C948AD" w:rsidRPr="00D551FA" w:rsidRDefault="00C948AD" w:rsidP="00C948AD">
      <w:pPr>
        <w:spacing w:line="276" w:lineRule="auto"/>
        <w:jc w:val="both"/>
        <w:rPr>
          <w:rFonts w:asciiTheme="majorHAnsi" w:hAnsiTheme="majorHAnsi" w:cstheme="majorHAnsi"/>
        </w:rPr>
      </w:pPr>
    </w:p>
    <w:p w:rsidR="00C948AD" w:rsidRPr="00FE7940" w:rsidRDefault="00C948AD" w:rsidP="00C948AD">
      <w:pPr>
        <w:spacing w:line="276" w:lineRule="auto"/>
        <w:jc w:val="both"/>
        <w:rPr>
          <w:rFonts w:asciiTheme="majorHAnsi" w:hAnsiTheme="majorHAnsi" w:cstheme="majorHAnsi"/>
          <w:sz w:val="22"/>
          <w:szCs w:val="22"/>
        </w:rPr>
      </w:pPr>
    </w:p>
    <w:p w:rsidR="00C948AD" w:rsidRPr="00FE7940" w:rsidRDefault="00C948AD" w:rsidP="00C948AD">
      <w:pPr>
        <w:spacing w:line="276" w:lineRule="auto"/>
        <w:jc w:val="both"/>
        <w:rPr>
          <w:rFonts w:asciiTheme="majorHAnsi" w:hAnsiTheme="majorHAnsi" w:cstheme="majorHAnsi"/>
          <w:noProof/>
          <w:sz w:val="22"/>
          <w:szCs w:val="22"/>
        </w:rPr>
      </w:pPr>
      <w:bookmarkStart w:id="1" w:name="_Toc244842687"/>
      <w:r w:rsidRPr="00FE7940">
        <w:rPr>
          <w:rFonts w:asciiTheme="majorHAnsi" w:hAnsiTheme="majorHAnsi" w:cstheme="majorHAnsi"/>
          <w:noProof/>
          <w:sz w:val="22"/>
          <w:szCs w:val="22"/>
        </w:rPr>
        <w:t xml:space="preserve">L’auditeur retenu au titre de l’appel d’offre s’engage à réaliser l’ensemble des vérifications suivantes, et à </w:t>
      </w:r>
      <w:r w:rsidRPr="00FE7940">
        <w:rPr>
          <w:rFonts w:asciiTheme="majorHAnsi" w:hAnsiTheme="majorHAnsi" w:cstheme="majorHAnsi"/>
          <w:b/>
          <w:noProof/>
          <w:sz w:val="22"/>
          <w:szCs w:val="22"/>
          <w:u w:val="single"/>
        </w:rPr>
        <w:t>annexer cette liste complétée et signée au rapport d’audit final</w:t>
      </w:r>
      <w:r w:rsidRPr="00FE7940">
        <w:rPr>
          <w:rFonts w:asciiTheme="majorHAnsi" w:hAnsiTheme="majorHAnsi" w:cstheme="majorHAnsi"/>
          <w:noProof/>
          <w:sz w:val="22"/>
          <w:szCs w:val="22"/>
        </w:rPr>
        <w:t>. Si certains points n’ont pas pu être vérifiés, il conviendra de le préciser et d’en donner la raison dans la lettre de management.</w:t>
      </w:r>
    </w:p>
    <w:p w:rsidR="00C948AD" w:rsidRPr="00FE7940" w:rsidRDefault="00C948AD" w:rsidP="00C948AD">
      <w:pPr>
        <w:spacing w:line="276" w:lineRule="auto"/>
        <w:jc w:val="both"/>
        <w:rPr>
          <w:rFonts w:asciiTheme="majorHAnsi" w:hAnsiTheme="majorHAnsi" w:cstheme="majorHAnsi"/>
          <w:noProof/>
          <w:sz w:val="20"/>
          <w:szCs w:val="20"/>
        </w:rPr>
      </w:pPr>
    </w:p>
    <w:tbl>
      <w:tblPr>
        <w:tblpPr w:leftFromText="141" w:rightFromText="141" w:vertAnchor="text" w:horzAnchor="margin" w:tblpX="-703" w:tblpY="7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5"/>
      </w:tblGrid>
      <w:tr w:rsidR="00C948AD" w:rsidRPr="00FE7940" w:rsidTr="00205D85">
        <w:trPr>
          <w:trHeight w:val="66"/>
        </w:trPr>
        <w:tc>
          <w:tcPr>
            <w:tcW w:w="10915" w:type="dxa"/>
            <w:shd w:val="clear" w:color="auto" w:fill="FFFF99"/>
            <w:vAlign w:val="center"/>
          </w:tcPr>
          <w:p w:rsidR="00C948AD" w:rsidRPr="00FE7940" w:rsidRDefault="00C948AD" w:rsidP="00205D85">
            <w:pPr>
              <w:spacing w:line="276" w:lineRule="auto"/>
              <w:rPr>
                <w:rFonts w:asciiTheme="majorHAnsi" w:hAnsiTheme="majorHAnsi" w:cstheme="majorHAnsi"/>
              </w:rPr>
            </w:pPr>
            <w:r w:rsidRPr="00FE7940">
              <w:rPr>
                <w:rFonts w:asciiTheme="majorHAnsi" w:hAnsiTheme="majorHAnsi" w:cstheme="majorHAnsi"/>
                <w:sz w:val="22"/>
                <w:szCs w:val="22"/>
              </w:rPr>
              <w:t xml:space="preserve">Auditeur (nom/statut/adresse) : </w:t>
            </w:r>
          </w:p>
          <w:p w:rsidR="00C948AD" w:rsidRPr="00FE7940" w:rsidRDefault="00C948AD" w:rsidP="00205D85">
            <w:pPr>
              <w:spacing w:line="276" w:lineRule="auto"/>
              <w:rPr>
                <w:rFonts w:asciiTheme="majorHAnsi" w:hAnsiTheme="majorHAnsi" w:cstheme="majorHAnsi"/>
              </w:rPr>
            </w:pPr>
            <w:r w:rsidRPr="00FE7940">
              <w:rPr>
                <w:rFonts w:asciiTheme="majorHAnsi" w:hAnsiTheme="majorHAnsi" w:cstheme="majorHAnsi"/>
                <w:sz w:val="22"/>
                <w:szCs w:val="22"/>
              </w:rPr>
              <w:t xml:space="preserve">Certification/qualification : </w:t>
            </w:r>
          </w:p>
        </w:tc>
      </w:tr>
      <w:tr w:rsidR="00C948AD" w:rsidRPr="00FE7940" w:rsidTr="00205D85">
        <w:trPr>
          <w:trHeight w:val="397"/>
        </w:trPr>
        <w:tc>
          <w:tcPr>
            <w:tcW w:w="10915" w:type="dxa"/>
            <w:shd w:val="clear" w:color="auto" w:fill="FFFF99"/>
            <w:vAlign w:val="center"/>
          </w:tcPr>
          <w:p w:rsidR="00C948AD" w:rsidRPr="00FE7940" w:rsidRDefault="00C948AD" w:rsidP="00205D85">
            <w:pPr>
              <w:spacing w:line="276" w:lineRule="auto"/>
              <w:rPr>
                <w:rFonts w:asciiTheme="majorHAnsi" w:hAnsiTheme="majorHAnsi" w:cstheme="majorHAnsi"/>
              </w:rPr>
            </w:pPr>
            <w:r w:rsidRPr="00FE7940">
              <w:rPr>
                <w:rFonts w:asciiTheme="majorHAnsi" w:hAnsiTheme="majorHAnsi" w:cstheme="majorHAnsi"/>
                <w:sz w:val="22"/>
                <w:szCs w:val="22"/>
              </w:rPr>
              <w:t xml:space="preserve">OSC ou partenaire audité : </w:t>
            </w:r>
          </w:p>
          <w:p w:rsidR="00C948AD" w:rsidRPr="00FE7940" w:rsidRDefault="00C948AD" w:rsidP="00205D85">
            <w:pPr>
              <w:spacing w:line="276" w:lineRule="auto"/>
              <w:rPr>
                <w:rFonts w:asciiTheme="majorHAnsi" w:hAnsiTheme="majorHAnsi" w:cstheme="majorHAnsi"/>
              </w:rPr>
            </w:pPr>
            <w:r w:rsidRPr="00FE7940">
              <w:rPr>
                <w:rFonts w:asciiTheme="majorHAnsi" w:hAnsiTheme="majorHAnsi" w:cstheme="majorHAnsi"/>
                <w:sz w:val="22"/>
                <w:szCs w:val="22"/>
              </w:rPr>
              <w:t xml:space="preserve">Dates de l’audit : </w:t>
            </w:r>
          </w:p>
        </w:tc>
      </w:tr>
      <w:tr w:rsidR="00C948AD" w:rsidRPr="00FE7940" w:rsidTr="00205D85">
        <w:trPr>
          <w:trHeight w:val="858"/>
        </w:trPr>
        <w:tc>
          <w:tcPr>
            <w:tcW w:w="10915" w:type="dxa"/>
            <w:shd w:val="clear" w:color="auto" w:fill="FFFF99"/>
            <w:vAlign w:val="center"/>
          </w:tcPr>
          <w:p w:rsidR="00C948AD" w:rsidRPr="00FE7940" w:rsidRDefault="00C948AD" w:rsidP="00205D85">
            <w:pPr>
              <w:spacing w:line="276" w:lineRule="auto"/>
              <w:rPr>
                <w:rFonts w:asciiTheme="majorHAnsi" w:hAnsiTheme="majorHAnsi" w:cstheme="majorHAnsi"/>
              </w:rPr>
            </w:pPr>
            <w:r w:rsidRPr="00FE7940">
              <w:rPr>
                <w:rFonts w:asciiTheme="majorHAnsi" w:hAnsiTheme="majorHAnsi" w:cstheme="majorHAnsi"/>
                <w:sz w:val="22"/>
                <w:szCs w:val="22"/>
              </w:rPr>
              <w:t>N° convention AFD</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xml:space="preserve">Montant audité :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xml:space="preserve">Tranches : </w:t>
            </w:r>
          </w:p>
        </w:tc>
      </w:tr>
      <w:bookmarkEnd w:id="1"/>
    </w:tbl>
    <w:p w:rsidR="00C948AD" w:rsidRPr="00FE7940" w:rsidRDefault="00C948AD" w:rsidP="00C948AD">
      <w:pPr>
        <w:shd w:val="clear" w:color="auto" w:fill="FFFFFF" w:themeFill="background1"/>
        <w:tabs>
          <w:tab w:val="left" w:pos="4283"/>
        </w:tabs>
        <w:spacing w:line="276" w:lineRule="auto"/>
        <w:rPr>
          <w:rFonts w:asciiTheme="majorHAnsi" w:hAnsiTheme="majorHAnsi" w:cstheme="majorHAnsi"/>
          <w:noProof/>
        </w:rPr>
      </w:pPr>
    </w:p>
    <w:tbl>
      <w:tblPr>
        <w:tblpPr w:leftFromText="141" w:rightFromText="141" w:vertAnchor="text" w:tblpX="-737"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5"/>
        <w:gridCol w:w="992"/>
        <w:gridCol w:w="3118"/>
      </w:tblGrid>
      <w:tr w:rsidR="00C948AD" w:rsidRPr="00FE7940" w:rsidTr="00205D85">
        <w:trPr>
          <w:trHeight w:val="561"/>
          <w:tblHeader/>
        </w:trPr>
        <w:tc>
          <w:tcPr>
            <w:tcW w:w="6805" w:type="dxa"/>
            <w:tcBorders>
              <w:bottom w:val="single" w:sz="4" w:space="0" w:color="auto"/>
            </w:tcBorders>
            <w:shd w:val="clear" w:color="auto" w:fill="FFFF99"/>
            <w:vAlign w:val="center"/>
          </w:tcPr>
          <w:p w:rsidR="00C948AD" w:rsidRPr="00FE7940" w:rsidRDefault="00C948AD" w:rsidP="00C948AD">
            <w:pPr>
              <w:numPr>
                <w:ilvl w:val="3"/>
                <w:numId w:val="4"/>
              </w:numPr>
              <w:spacing w:line="276" w:lineRule="auto"/>
              <w:ind w:left="426" w:hanging="426"/>
              <w:contextualSpacing/>
              <w:rPr>
                <w:rFonts w:asciiTheme="majorHAnsi" w:hAnsiTheme="majorHAnsi" w:cstheme="majorHAnsi"/>
                <w:b/>
                <w:noProof/>
              </w:rPr>
            </w:pPr>
            <w:r w:rsidRPr="00FE7940">
              <w:rPr>
                <w:rFonts w:asciiTheme="majorHAnsi" w:hAnsiTheme="majorHAnsi" w:cstheme="majorHAnsi"/>
                <w:b/>
                <w:noProof/>
                <w:sz w:val="22"/>
                <w:szCs w:val="22"/>
              </w:rPr>
              <w:t>QUESTIONS DE CONTRÔLE</w:t>
            </w:r>
          </w:p>
        </w:tc>
        <w:tc>
          <w:tcPr>
            <w:tcW w:w="992" w:type="dxa"/>
            <w:tcBorders>
              <w:bottom w:val="single" w:sz="4" w:space="0" w:color="auto"/>
            </w:tcBorders>
            <w:shd w:val="clear" w:color="auto" w:fill="FFFF99"/>
            <w:vAlign w:val="center"/>
          </w:tcPr>
          <w:p w:rsidR="00C948AD" w:rsidRPr="00FE7940" w:rsidRDefault="00C948AD" w:rsidP="00205D85">
            <w:pPr>
              <w:spacing w:line="276" w:lineRule="auto"/>
              <w:rPr>
                <w:rFonts w:asciiTheme="majorHAnsi" w:hAnsiTheme="majorHAnsi" w:cstheme="majorHAnsi"/>
                <w:b/>
                <w:noProof/>
              </w:rPr>
            </w:pPr>
            <w:r w:rsidRPr="00FE7940">
              <w:rPr>
                <w:rFonts w:asciiTheme="majorHAnsi" w:hAnsiTheme="majorHAnsi" w:cstheme="majorHAnsi"/>
                <w:b/>
                <w:noProof/>
                <w:sz w:val="22"/>
                <w:szCs w:val="22"/>
              </w:rPr>
              <w:t>Oui, le point a été vérifié</w:t>
            </w:r>
          </w:p>
        </w:tc>
        <w:tc>
          <w:tcPr>
            <w:tcW w:w="3118" w:type="dxa"/>
            <w:tcBorders>
              <w:bottom w:val="single" w:sz="4" w:space="0" w:color="auto"/>
            </w:tcBorders>
            <w:shd w:val="clear" w:color="auto" w:fill="FFFF99"/>
            <w:vAlign w:val="center"/>
          </w:tcPr>
          <w:p w:rsidR="00C948AD" w:rsidRPr="00FE7940" w:rsidRDefault="00C948AD" w:rsidP="00205D85">
            <w:pPr>
              <w:spacing w:line="276" w:lineRule="auto"/>
              <w:rPr>
                <w:rFonts w:asciiTheme="majorHAnsi" w:hAnsiTheme="majorHAnsi" w:cstheme="majorHAnsi"/>
                <w:b/>
                <w:noProof/>
              </w:rPr>
            </w:pPr>
            <w:r w:rsidRPr="00FE7940">
              <w:rPr>
                <w:rFonts w:asciiTheme="majorHAnsi" w:hAnsiTheme="majorHAnsi" w:cstheme="majorHAnsi"/>
                <w:b/>
                <w:noProof/>
                <w:sz w:val="22"/>
                <w:szCs w:val="22"/>
              </w:rPr>
              <w:t>Rajouter un commentaire si le point n’a pas pu être vérifié</w:t>
            </w:r>
          </w:p>
        </w:tc>
      </w:tr>
      <w:tr w:rsidR="00C948AD" w:rsidRPr="00FE7940" w:rsidTr="00205D85">
        <w:trPr>
          <w:trHeight w:val="399"/>
          <w:tblHeader/>
        </w:trPr>
        <w:tc>
          <w:tcPr>
            <w:tcW w:w="6805" w:type="dxa"/>
            <w:shd w:val="clear" w:color="auto" w:fill="BFBFBF" w:themeFill="background1" w:themeFillShade="BF"/>
            <w:vAlign w:val="center"/>
          </w:tcPr>
          <w:p w:rsidR="00C948AD" w:rsidRPr="00FE7940" w:rsidRDefault="00C948AD" w:rsidP="00C948AD">
            <w:pPr>
              <w:numPr>
                <w:ilvl w:val="1"/>
                <w:numId w:val="5"/>
              </w:numPr>
              <w:spacing w:line="276" w:lineRule="auto"/>
              <w:contextualSpacing/>
              <w:rPr>
                <w:rFonts w:asciiTheme="majorHAnsi" w:hAnsiTheme="majorHAnsi" w:cstheme="majorHAnsi"/>
                <w:b/>
              </w:rPr>
            </w:pPr>
            <w:r w:rsidRPr="00FE7940">
              <w:rPr>
                <w:rFonts w:asciiTheme="majorHAnsi" w:hAnsiTheme="majorHAnsi" w:cstheme="majorHAnsi"/>
                <w:b/>
                <w:noProof/>
                <w:sz w:val="22"/>
                <w:szCs w:val="22"/>
              </w:rPr>
              <w:t>Modalités du contrôle</w:t>
            </w:r>
          </w:p>
        </w:tc>
        <w:tc>
          <w:tcPr>
            <w:tcW w:w="992" w:type="dxa"/>
            <w:shd w:val="clear" w:color="auto" w:fill="BFBFBF" w:themeFill="background1" w:themeFillShade="BF"/>
            <w:vAlign w:val="center"/>
          </w:tcPr>
          <w:p w:rsidR="00C948AD" w:rsidRPr="00FE7940" w:rsidRDefault="00C948AD" w:rsidP="00205D85">
            <w:pPr>
              <w:spacing w:line="276" w:lineRule="auto"/>
              <w:rPr>
                <w:rFonts w:asciiTheme="majorHAnsi" w:hAnsiTheme="majorHAnsi" w:cstheme="majorHAnsi"/>
                <w:b/>
                <w:noProof/>
              </w:rPr>
            </w:pPr>
          </w:p>
        </w:tc>
        <w:tc>
          <w:tcPr>
            <w:tcW w:w="3118" w:type="dxa"/>
            <w:shd w:val="clear" w:color="auto" w:fill="BFBFBF" w:themeFill="background1" w:themeFillShade="BF"/>
            <w:vAlign w:val="center"/>
          </w:tcPr>
          <w:p w:rsidR="00C948AD" w:rsidRPr="00FE7940" w:rsidRDefault="00C948AD" w:rsidP="00205D85">
            <w:pPr>
              <w:spacing w:line="276" w:lineRule="auto"/>
              <w:rPr>
                <w:rFonts w:asciiTheme="majorHAnsi" w:hAnsiTheme="majorHAnsi" w:cstheme="majorHAnsi"/>
                <w:b/>
                <w:noProof/>
              </w:rPr>
            </w:pPr>
          </w:p>
        </w:tc>
      </w:tr>
      <w:tr w:rsidR="00C948AD" w:rsidRPr="00FE7940" w:rsidTr="00205D85">
        <w:trPr>
          <w:trHeight w:val="127"/>
        </w:trPr>
        <w:tc>
          <w:tcPr>
            <w:tcW w:w="6805" w:type="dxa"/>
            <w:shd w:val="clear" w:color="auto" w:fill="auto"/>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xml:space="preserve">Une réunion de cadrage entre l’auditeur et l’OSC a-t-elle été tenue dans les 12 premiers mois de mise en œuvre du projet? </w:t>
            </w:r>
          </w:p>
          <w:p w:rsidR="00C948AD" w:rsidRPr="00FE7940" w:rsidRDefault="00C948AD" w:rsidP="00205D85">
            <w:pPr>
              <w:spacing w:line="276" w:lineRule="auto"/>
              <w:rPr>
                <w:rFonts w:asciiTheme="majorHAnsi" w:hAnsiTheme="majorHAnsi" w:cstheme="majorHAnsi"/>
                <w:bCs/>
                <w:noProof/>
              </w:rPr>
            </w:pPr>
          </w:p>
        </w:tc>
        <w:tc>
          <w:tcPr>
            <w:tcW w:w="992"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3118"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shd w:val="clear" w:color="auto" w:fill="auto"/>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L’échantillonnage des dépenses à vérifier a-t-il été défini de façon indépendante par l’auditeur ?</w:t>
            </w:r>
          </w:p>
          <w:p w:rsidR="00C948AD" w:rsidRPr="00FE7940" w:rsidRDefault="00C948AD" w:rsidP="00205D85">
            <w:pPr>
              <w:spacing w:line="276" w:lineRule="auto"/>
              <w:rPr>
                <w:rFonts w:asciiTheme="majorHAnsi" w:hAnsiTheme="majorHAnsi" w:cstheme="majorHAnsi"/>
                <w:bCs/>
                <w:noProof/>
              </w:rPr>
            </w:pPr>
          </w:p>
        </w:tc>
        <w:tc>
          <w:tcPr>
            <w:tcW w:w="992"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3118"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shd w:val="clear" w:color="auto" w:fill="auto"/>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L’échantillon de dépenses à vérifier est-il supérieur à 50% du montant total des dépenses du projet ?</w:t>
            </w:r>
          </w:p>
          <w:p w:rsidR="00C948AD" w:rsidRPr="00FE7940" w:rsidRDefault="00C948AD" w:rsidP="00205D85">
            <w:pPr>
              <w:spacing w:line="276" w:lineRule="auto"/>
              <w:rPr>
                <w:rFonts w:asciiTheme="majorHAnsi" w:hAnsiTheme="majorHAnsi" w:cstheme="majorHAnsi"/>
                <w:bCs/>
                <w:noProof/>
              </w:rPr>
            </w:pPr>
          </w:p>
        </w:tc>
        <w:tc>
          <w:tcPr>
            <w:tcW w:w="992"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3118"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shd w:val="clear" w:color="auto" w:fill="auto"/>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xml:space="preserve">Chaque rubrique du budget a-t-elle fait l’objet de vérifications pour un montant significatif ? </w:t>
            </w:r>
          </w:p>
          <w:p w:rsidR="00C948AD" w:rsidRPr="00FE7940" w:rsidRDefault="00C948AD" w:rsidP="00205D85">
            <w:pPr>
              <w:spacing w:line="276" w:lineRule="auto"/>
              <w:rPr>
                <w:rFonts w:asciiTheme="majorHAnsi" w:hAnsiTheme="majorHAnsi" w:cstheme="majorHAnsi"/>
                <w:bCs/>
                <w:noProof/>
              </w:rPr>
            </w:pPr>
          </w:p>
        </w:tc>
        <w:tc>
          <w:tcPr>
            <w:tcW w:w="992"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3118"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shd w:val="clear" w:color="auto" w:fill="auto"/>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xml:space="preserve">Le contrôle des dépenses gérées localementa-t-il été effectué par l’auditeur ? Si cela est le cas, veuillez expliciter la méthode de contrôle (déplacement sur le terrain, association avec un cabinet d’audit local, remontée des pièces locales au niveau du siège, etc.) ?  </w:t>
            </w:r>
          </w:p>
          <w:p w:rsidR="00C948AD" w:rsidRPr="00FE7940" w:rsidRDefault="00C948AD" w:rsidP="00205D85">
            <w:pPr>
              <w:spacing w:line="276" w:lineRule="auto"/>
              <w:rPr>
                <w:rFonts w:asciiTheme="majorHAnsi" w:hAnsiTheme="majorHAnsi" w:cstheme="majorHAnsi"/>
                <w:bCs/>
                <w:noProof/>
              </w:rPr>
            </w:pPr>
          </w:p>
        </w:tc>
        <w:tc>
          <w:tcPr>
            <w:tcW w:w="992"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3118"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bl>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5"/>
        <w:gridCol w:w="992"/>
        <w:gridCol w:w="3119"/>
      </w:tblGrid>
      <w:tr w:rsidR="00C948AD" w:rsidRPr="00FE7940" w:rsidTr="00205D85">
        <w:trPr>
          <w:trHeight w:val="127"/>
        </w:trPr>
        <w:tc>
          <w:tcPr>
            <w:tcW w:w="6805" w:type="dxa"/>
            <w:shd w:val="clear" w:color="auto" w:fill="BFBFBF" w:themeFill="background1" w:themeFillShade="BF"/>
          </w:tcPr>
          <w:p w:rsidR="00C948AD" w:rsidRPr="00FE7940" w:rsidRDefault="00C948AD" w:rsidP="00205D85">
            <w:pPr>
              <w:spacing w:line="276" w:lineRule="auto"/>
              <w:rPr>
                <w:rFonts w:asciiTheme="majorHAnsi" w:hAnsiTheme="majorHAnsi" w:cstheme="majorHAnsi"/>
              </w:rPr>
            </w:pPr>
            <w:r w:rsidRPr="00FE7940">
              <w:rPr>
                <w:rFonts w:asciiTheme="majorHAnsi" w:hAnsiTheme="majorHAnsi" w:cstheme="majorHAnsi"/>
                <w:b/>
                <w:noProof/>
                <w:sz w:val="22"/>
                <w:szCs w:val="22"/>
              </w:rPr>
              <w:t>1.2.    Obligations contractuelles</w:t>
            </w:r>
          </w:p>
        </w:tc>
        <w:tc>
          <w:tcPr>
            <w:tcW w:w="992" w:type="dxa"/>
            <w:shd w:val="clear" w:color="auto" w:fill="BFBFBF" w:themeFill="background1" w:themeFillShade="BF"/>
          </w:tcPr>
          <w:p w:rsidR="00C948AD" w:rsidRPr="00FE7940" w:rsidRDefault="00C948AD" w:rsidP="00205D85">
            <w:pPr>
              <w:spacing w:line="276" w:lineRule="auto"/>
              <w:rPr>
                <w:rFonts w:asciiTheme="majorHAnsi" w:hAnsiTheme="majorHAnsi" w:cstheme="majorHAnsi"/>
                <w:noProof/>
              </w:rPr>
            </w:pPr>
          </w:p>
        </w:tc>
        <w:tc>
          <w:tcPr>
            <w:tcW w:w="3119" w:type="dxa"/>
            <w:shd w:val="clear" w:color="auto" w:fill="BFBFBF" w:themeFill="background1" w:themeFillShade="BF"/>
          </w:tcPr>
          <w:p w:rsidR="00C948AD" w:rsidRPr="00FE7940" w:rsidRDefault="00C948AD" w:rsidP="00205D85">
            <w:pPr>
              <w:spacing w:line="276" w:lineRule="auto"/>
              <w:rPr>
                <w:rFonts w:asciiTheme="majorHAnsi" w:hAnsiTheme="majorHAnsi" w:cstheme="majorHAnsi"/>
                <w:noProof/>
              </w:rPr>
            </w:pPr>
          </w:p>
        </w:tc>
      </w:tr>
      <w:tr w:rsidR="00C948AD" w:rsidRPr="00FE7940" w:rsidTr="00205D85">
        <w:trPr>
          <w:trHeight w:val="127"/>
        </w:trPr>
        <w:tc>
          <w:tcPr>
            <w:tcW w:w="6805" w:type="dxa"/>
            <w:shd w:val="clear" w:color="auto" w:fill="auto"/>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Les documents contractuels (formulaire de candidature, convention de financement, accord de partenariat) existent-ils ; sont-ils signés et datés ?</w:t>
            </w:r>
          </w:p>
          <w:p w:rsidR="00C948AD" w:rsidRPr="00FE7940" w:rsidRDefault="00C948AD" w:rsidP="00205D85">
            <w:pPr>
              <w:spacing w:line="276" w:lineRule="auto"/>
              <w:rPr>
                <w:rFonts w:asciiTheme="majorHAnsi" w:hAnsiTheme="majorHAnsi" w:cstheme="majorHAnsi"/>
                <w:bCs/>
                <w:noProof/>
              </w:rPr>
            </w:pPr>
          </w:p>
        </w:tc>
        <w:tc>
          <w:tcPr>
            <w:tcW w:w="992"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3119"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shd w:val="clear" w:color="auto" w:fill="auto"/>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xml:space="preserve">Existe-t-il un système clair de gestion comptable et financier ? Les responsabilités de l’OSC, de la coordination du projet, de la gestion et </w:t>
            </w:r>
            <w:r w:rsidRPr="00FE7940">
              <w:rPr>
                <w:rFonts w:asciiTheme="majorHAnsi" w:hAnsiTheme="majorHAnsi" w:cstheme="majorHAnsi"/>
                <w:bCs/>
                <w:noProof/>
                <w:sz w:val="22"/>
                <w:szCs w:val="22"/>
              </w:rPr>
              <w:lastRenderedPageBreak/>
              <w:t>des contrôles financiers ont-elles étés clairement définies ?</w:t>
            </w:r>
          </w:p>
          <w:p w:rsidR="00C948AD" w:rsidRPr="00FE7940" w:rsidRDefault="00C948AD" w:rsidP="00205D85">
            <w:pPr>
              <w:spacing w:line="276" w:lineRule="auto"/>
              <w:rPr>
                <w:rFonts w:asciiTheme="majorHAnsi" w:hAnsiTheme="majorHAnsi" w:cstheme="majorHAnsi"/>
                <w:bCs/>
                <w:noProof/>
              </w:rPr>
            </w:pPr>
          </w:p>
        </w:tc>
        <w:tc>
          <w:tcPr>
            <w:tcW w:w="992"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3119"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shd w:val="clear" w:color="auto" w:fill="auto"/>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lastRenderedPageBreak/>
              <w:t>Les dispositions incluses dans la convention ainsi que celles prévues par le guide méthodologique en vigueur au moment de l’octroi ont-elles été respectées ?</w:t>
            </w:r>
          </w:p>
          <w:p w:rsidR="00C948AD" w:rsidRPr="00FE7940" w:rsidRDefault="00C948AD" w:rsidP="00205D85">
            <w:pPr>
              <w:spacing w:line="276" w:lineRule="auto"/>
              <w:rPr>
                <w:rFonts w:asciiTheme="majorHAnsi" w:hAnsiTheme="majorHAnsi" w:cstheme="majorHAnsi"/>
                <w:bCs/>
                <w:noProof/>
              </w:rPr>
            </w:pPr>
          </w:p>
        </w:tc>
        <w:tc>
          <w:tcPr>
            <w:tcW w:w="992"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3119"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410"/>
        </w:trPr>
        <w:tc>
          <w:tcPr>
            <w:tcW w:w="6805" w:type="dxa"/>
            <w:shd w:val="clear" w:color="auto" w:fill="BFBFBF" w:themeFill="background1" w:themeFillShade="BF"/>
          </w:tcPr>
          <w:p w:rsidR="00C948AD" w:rsidRPr="00FE7940" w:rsidRDefault="00C948AD" w:rsidP="00205D85">
            <w:pPr>
              <w:spacing w:line="276" w:lineRule="auto"/>
              <w:rPr>
                <w:rFonts w:asciiTheme="majorHAnsi" w:hAnsiTheme="majorHAnsi" w:cstheme="majorHAnsi"/>
              </w:rPr>
            </w:pPr>
            <w:r w:rsidRPr="00FE7940">
              <w:rPr>
                <w:rFonts w:asciiTheme="majorHAnsi" w:hAnsiTheme="majorHAnsi" w:cstheme="majorHAnsi"/>
                <w:b/>
                <w:noProof/>
                <w:sz w:val="22"/>
                <w:szCs w:val="22"/>
              </w:rPr>
              <w:t>1.3.     Analyse du plan de financement</w:t>
            </w:r>
          </w:p>
        </w:tc>
        <w:tc>
          <w:tcPr>
            <w:tcW w:w="992" w:type="dxa"/>
            <w:shd w:val="clear" w:color="auto" w:fill="BFBFBF" w:themeFill="background1" w:themeFillShade="BF"/>
          </w:tcPr>
          <w:p w:rsidR="00C948AD" w:rsidRPr="00FE7940" w:rsidRDefault="00C948AD" w:rsidP="00205D85">
            <w:pPr>
              <w:spacing w:line="276" w:lineRule="auto"/>
              <w:rPr>
                <w:rFonts w:asciiTheme="majorHAnsi" w:hAnsiTheme="majorHAnsi" w:cstheme="majorHAnsi"/>
                <w:noProof/>
              </w:rPr>
            </w:pPr>
          </w:p>
        </w:tc>
        <w:tc>
          <w:tcPr>
            <w:tcW w:w="3119" w:type="dxa"/>
            <w:shd w:val="clear" w:color="auto" w:fill="BFBFBF" w:themeFill="background1" w:themeFillShade="BF"/>
          </w:tcPr>
          <w:p w:rsidR="00C948AD" w:rsidRPr="00FE7940" w:rsidRDefault="00C948AD" w:rsidP="00205D85">
            <w:pPr>
              <w:spacing w:line="276" w:lineRule="auto"/>
              <w:rPr>
                <w:rFonts w:asciiTheme="majorHAnsi" w:hAnsiTheme="majorHAnsi" w:cstheme="majorHAnsi"/>
                <w:noProof/>
              </w:rPr>
            </w:pPr>
          </w:p>
        </w:tc>
      </w:tr>
      <w:tr w:rsidR="00C948AD" w:rsidRPr="00FE7940" w:rsidTr="00205D85">
        <w:trPr>
          <w:trHeight w:val="127"/>
        </w:trPr>
        <w:tc>
          <w:tcPr>
            <w:tcW w:w="6805" w:type="dxa"/>
            <w:tcBorders>
              <w:bottom w:val="single" w:sz="4" w:space="0" w:color="auto"/>
            </w:tcBorders>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Le plafond appliqué aux valorisations de 25 % maximum du budget total du projet a-t-il bien été respecté ?  Point d’attention, les valorisations ne peuvent pas apparaître dans les contributions de l’AFD et des ministères français.</w:t>
            </w:r>
          </w:p>
          <w:p w:rsidR="00C948AD" w:rsidRPr="00FE7940" w:rsidRDefault="00C948AD" w:rsidP="00205D85">
            <w:pPr>
              <w:spacing w:line="276" w:lineRule="auto"/>
              <w:rPr>
                <w:rFonts w:asciiTheme="majorHAnsi" w:hAnsiTheme="majorHAnsi" w:cstheme="majorHAnsi"/>
                <w:bCs/>
                <w:noProof/>
              </w:rPr>
            </w:pPr>
          </w:p>
        </w:tc>
        <w:tc>
          <w:tcPr>
            <w:tcW w:w="992"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c>
          <w:tcPr>
            <w:tcW w:w="3119"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Borders>
              <w:bottom w:val="single" w:sz="4" w:space="0" w:color="auto"/>
            </w:tcBorders>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Les modalités de calcul des valorisations explicitées dans le guide méthodologique ont-elles bien été respectées ?</w:t>
            </w:r>
          </w:p>
          <w:p w:rsidR="00C948AD" w:rsidRPr="00FE7940" w:rsidRDefault="00C948AD" w:rsidP="00205D85">
            <w:pPr>
              <w:spacing w:line="276" w:lineRule="auto"/>
              <w:rPr>
                <w:rFonts w:asciiTheme="majorHAnsi" w:hAnsiTheme="majorHAnsi" w:cstheme="majorHAnsi"/>
                <w:bCs/>
                <w:noProof/>
              </w:rPr>
            </w:pPr>
          </w:p>
        </w:tc>
        <w:tc>
          <w:tcPr>
            <w:tcW w:w="992"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c>
          <w:tcPr>
            <w:tcW w:w="3119"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Borders>
              <w:bottom w:val="single" w:sz="4" w:space="0" w:color="auto"/>
            </w:tcBorders>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xml:space="preserve">Le budget convenu contractuellement  a-t-il été globalement respecté, dans la limite des règles définies par rubrique budgétaire et partenaire? </w:t>
            </w:r>
          </w:p>
          <w:p w:rsidR="00C948AD" w:rsidRPr="00FE7940" w:rsidRDefault="00C948AD" w:rsidP="00205D85">
            <w:pPr>
              <w:spacing w:line="276" w:lineRule="auto"/>
              <w:rPr>
                <w:rFonts w:asciiTheme="majorHAnsi" w:hAnsiTheme="majorHAnsi" w:cstheme="majorHAnsi"/>
                <w:bCs/>
                <w:noProof/>
              </w:rPr>
            </w:pP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Si vous avez-vous constaté une variation inférieure ou supérieure à 20% du total de chacune des 8 ou 9 rubriques budgétaires, a-t-elle  fait l’objet d’un avis de non objection de la part de l’AFD ?</w:t>
            </w:r>
          </w:p>
          <w:p w:rsidR="00C948AD" w:rsidRPr="00FE7940" w:rsidRDefault="00C948AD" w:rsidP="00205D85">
            <w:pPr>
              <w:spacing w:line="276" w:lineRule="auto"/>
              <w:rPr>
                <w:rFonts w:asciiTheme="majorHAnsi" w:hAnsiTheme="majorHAnsi" w:cstheme="majorHAnsi"/>
                <w:bCs/>
                <w:noProof/>
              </w:rPr>
            </w:pPr>
          </w:p>
        </w:tc>
        <w:tc>
          <w:tcPr>
            <w:tcW w:w="992"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c>
          <w:tcPr>
            <w:tcW w:w="3119"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Borders>
              <w:bottom w:val="single" w:sz="4" w:space="0" w:color="auto"/>
            </w:tcBorders>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Dans le tableau des dépenses, les plafonds prévus par le guide méthodologique ont-ils bien été respectés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La rubrique  « divers et imprévus » est plafonnée à 5 % du total des coûts directs du projet (hors frais administratifs et de structure)</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Si l’OSC a prévu une ligne spécifique « personnel du siège dédié au projet » dans la rubrique budgétaire « appui et suivi », les frais administratifs sont plafonnés à 10% des coûts directs du projet</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Si l’OSC a déclaré des frais administratifs à concurrence de 12% des coûts directs du projet, a-t-on vérifié que la rubrique « appui et suivi » n’inclue que les frais de mission du personnel du siège (perdiems et frais de transport) ?</w:t>
            </w:r>
          </w:p>
          <w:p w:rsidR="00C948AD" w:rsidRPr="00FE7940" w:rsidRDefault="00C948AD" w:rsidP="00205D85">
            <w:pPr>
              <w:spacing w:line="276" w:lineRule="auto"/>
              <w:rPr>
                <w:rFonts w:asciiTheme="majorHAnsi" w:hAnsiTheme="majorHAnsi" w:cstheme="majorHAnsi"/>
                <w:bCs/>
                <w:noProof/>
              </w:rPr>
            </w:pPr>
          </w:p>
        </w:tc>
        <w:tc>
          <w:tcPr>
            <w:tcW w:w="992"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c>
          <w:tcPr>
            <w:tcW w:w="3119"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Borders>
              <w:bottom w:val="single" w:sz="4" w:space="0" w:color="auto"/>
            </w:tcBorders>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Les partenaires et parties prenantes bénéficiaires de rétrocessions  supérieures à 5 000 € ont-ils été systématiquement signalés à l’AFD ?</w:t>
            </w:r>
          </w:p>
          <w:p w:rsidR="00C948AD" w:rsidRPr="00FE7940" w:rsidRDefault="00C948AD" w:rsidP="00205D85">
            <w:pPr>
              <w:spacing w:line="276" w:lineRule="auto"/>
              <w:rPr>
                <w:rFonts w:asciiTheme="majorHAnsi" w:hAnsiTheme="majorHAnsi" w:cstheme="majorHAnsi"/>
                <w:bCs/>
                <w:noProof/>
              </w:rPr>
            </w:pPr>
          </w:p>
        </w:tc>
        <w:tc>
          <w:tcPr>
            <w:tcW w:w="992"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c>
          <w:tcPr>
            <w:tcW w:w="3119"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shd w:val="clear" w:color="auto" w:fill="BFBFBF" w:themeFill="background1" w:themeFillShade="BF"/>
          </w:tcPr>
          <w:p w:rsidR="00C948AD" w:rsidRPr="00FE7940" w:rsidRDefault="00C948AD" w:rsidP="00205D85">
            <w:pPr>
              <w:spacing w:line="276" w:lineRule="auto"/>
              <w:rPr>
                <w:rFonts w:asciiTheme="majorHAnsi" w:hAnsiTheme="majorHAnsi" w:cstheme="majorHAnsi"/>
                <w:b/>
              </w:rPr>
            </w:pPr>
            <w:bookmarkStart w:id="2" w:name="_Toc244842692"/>
            <w:r w:rsidRPr="00FE7940">
              <w:rPr>
                <w:rFonts w:asciiTheme="majorHAnsi" w:hAnsiTheme="majorHAnsi" w:cstheme="majorHAnsi"/>
                <w:b/>
                <w:noProof/>
                <w:sz w:val="22"/>
                <w:szCs w:val="22"/>
              </w:rPr>
              <w:t xml:space="preserve">1.4.     Vérification du système </w:t>
            </w:r>
            <w:bookmarkEnd w:id="2"/>
            <w:r w:rsidRPr="00FE7940">
              <w:rPr>
                <w:rFonts w:asciiTheme="majorHAnsi" w:hAnsiTheme="majorHAnsi" w:cstheme="majorHAnsi"/>
                <w:b/>
                <w:noProof/>
                <w:sz w:val="22"/>
                <w:szCs w:val="22"/>
              </w:rPr>
              <w:t>comptable</w:t>
            </w:r>
          </w:p>
        </w:tc>
        <w:tc>
          <w:tcPr>
            <w:tcW w:w="992" w:type="dxa"/>
            <w:shd w:val="clear" w:color="auto" w:fill="BFBFBF" w:themeFill="background1" w:themeFillShade="BF"/>
          </w:tcPr>
          <w:p w:rsidR="00C948AD" w:rsidRPr="00FE7940" w:rsidRDefault="00C948AD" w:rsidP="00205D85">
            <w:pPr>
              <w:spacing w:line="276" w:lineRule="auto"/>
              <w:rPr>
                <w:rFonts w:asciiTheme="majorHAnsi" w:hAnsiTheme="majorHAnsi" w:cstheme="majorHAnsi"/>
                <w:noProof/>
              </w:rPr>
            </w:pPr>
          </w:p>
        </w:tc>
        <w:tc>
          <w:tcPr>
            <w:tcW w:w="3119" w:type="dxa"/>
            <w:shd w:val="clear" w:color="auto" w:fill="BFBFBF" w:themeFill="background1" w:themeFillShade="BF"/>
          </w:tcPr>
          <w:p w:rsidR="00C948AD" w:rsidRPr="00FE7940" w:rsidRDefault="00C948AD" w:rsidP="00205D85">
            <w:pPr>
              <w:spacing w:line="276" w:lineRule="auto"/>
              <w:rPr>
                <w:rFonts w:asciiTheme="majorHAnsi" w:hAnsiTheme="majorHAnsi" w:cstheme="majorHAnsi"/>
                <w:noProof/>
              </w:rPr>
            </w:pPr>
          </w:p>
        </w:tc>
      </w:tr>
      <w:tr w:rsidR="00C948AD" w:rsidRPr="00FE7940" w:rsidTr="00205D85">
        <w:trPr>
          <w:trHeight w:val="127"/>
        </w:trPr>
        <w:tc>
          <w:tcPr>
            <w:tcW w:w="6805" w:type="dxa"/>
            <w:tcBorders>
              <w:bottom w:val="single" w:sz="4" w:space="0" w:color="auto"/>
            </w:tcBorders>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Dans la comptabilité de l’OSC, existe-t-il un code analytique dédié aux recettes et dépenses induites par le projet  ?</w:t>
            </w:r>
          </w:p>
          <w:p w:rsidR="00C948AD" w:rsidRPr="00FE7940" w:rsidRDefault="00C948AD" w:rsidP="00205D85">
            <w:pPr>
              <w:spacing w:line="276" w:lineRule="auto"/>
              <w:rPr>
                <w:rFonts w:asciiTheme="majorHAnsi" w:hAnsiTheme="majorHAnsi" w:cstheme="majorHAnsi"/>
                <w:bCs/>
                <w:noProof/>
              </w:rPr>
            </w:pPr>
          </w:p>
        </w:tc>
        <w:tc>
          <w:tcPr>
            <w:tcW w:w="992"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c>
          <w:tcPr>
            <w:tcW w:w="3119"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Borders>
              <w:bottom w:val="single" w:sz="4" w:space="0" w:color="auto"/>
            </w:tcBorders>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Le montant indiqué dans le rapport d’exécution peut-il être réconcilié avec une liste de dépenses extraite du système comptable?</w:t>
            </w:r>
          </w:p>
          <w:p w:rsidR="00C948AD" w:rsidRPr="00FE7940" w:rsidRDefault="00C948AD" w:rsidP="00205D85">
            <w:pPr>
              <w:spacing w:line="276" w:lineRule="auto"/>
              <w:rPr>
                <w:rFonts w:asciiTheme="majorHAnsi" w:hAnsiTheme="majorHAnsi" w:cstheme="majorHAnsi"/>
                <w:bCs/>
                <w:noProof/>
              </w:rPr>
            </w:pPr>
          </w:p>
        </w:tc>
        <w:tc>
          <w:tcPr>
            <w:tcW w:w="992"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c>
          <w:tcPr>
            <w:tcW w:w="3119"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Borders>
              <w:bottom w:val="single" w:sz="4" w:space="0" w:color="auto"/>
            </w:tcBorders>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lastRenderedPageBreak/>
              <w:t>Le système d’enregistrement permet-il d’attribuer à chaque dépense une facture ou une pièce comptable d’une valeur probante équivalente ?</w:t>
            </w:r>
          </w:p>
          <w:p w:rsidR="00C948AD" w:rsidRPr="00FE7940" w:rsidRDefault="00C948AD" w:rsidP="00205D85">
            <w:pPr>
              <w:spacing w:line="276" w:lineRule="auto"/>
              <w:rPr>
                <w:rFonts w:asciiTheme="majorHAnsi" w:hAnsiTheme="majorHAnsi" w:cstheme="majorHAnsi"/>
                <w:bCs/>
                <w:noProof/>
              </w:rPr>
            </w:pPr>
          </w:p>
        </w:tc>
        <w:tc>
          <w:tcPr>
            <w:tcW w:w="992"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c>
          <w:tcPr>
            <w:tcW w:w="3119"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Borders>
              <w:bottom w:val="single" w:sz="4" w:space="0" w:color="auto"/>
            </w:tcBorders>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Le système d’enregistrement permet-il d’attribuer à chaque dépense un justificatif de paiement (généralement un relevé bancaire, une confirmation de virement bancaire, un ticket de caisse) ?</w:t>
            </w:r>
          </w:p>
          <w:p w:rsidR="00C948AD" w:rsidRPr="00FE7940" w:rsidRDefault="00C948AD" w:rsidP="00205D85">
            <w:pPr>
              <w:spacing w:line="276" w:lineRule="auto"/>
              <w:rPr>
                <w:rFonts w:asciiTheme="majorHAnsi" w:hAnsiTheme="majorHAnsi" w:cstheme="majorHAnsi"/>
                <w:bCs/>
                <w:noProof/>
              </w:rPr>
            </w:pPr>
          </w:p>
        </w:tc>
        <w:tc>
          <w:tcPr>
            <w:tcW w:w="992"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c>
          <w:tcPr>
            <w:tcW w:w="3119" w:type="dxa"/>
            <w:tcBorders>
              <w:bottom w:val="single" w:sz="4" w:space="0" w:color="auto"/>
            </w:tcBorders>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Borders>
              <w:bottom w:val="single" w:sz="4" w:space="0" w:color="auto"/>
            </w:tcBorders>
            <w:shd w:val="clear" w:color="auto" w:fill="BFBFBF" w:themeFill="background1" w:themeFillShade="BF"/>
          </w:tcPr>
          <w:p w:rsidR="00C948AD" w:rsidRPr="00FE7940" w:rsidRDefault="00C948AD" w:rsidP="00205D85">
            <w:pPr>
              <w:spacing w:line="276" w:lineRule="auto"/>
              <w:rPr>
                <w:rFonts w:asciiTheme="majorHAnsi" w:hAnsiTheme="majorHAnsi" w:cstheme="majorHAnsi"/>
              </w:rPr>
            </w:pPr>
            <w:bookmarkStart w:id="3" w:name="_Toc244842693"/>
            <w:r w:rsidRPr="00FE7940">
              <w:rPr>
                <w:rFonts w:asciiTheme="majorHAnsi" w:hAnsiTheme="majorHAnsi" w:cstheme="majorHAnsi"/>
                <w:b/>
                <w:noProof/>
                <w:sz w:val="22"/>
                <w:szCs w:val="22"/>
              </w:rPr>
              <w:t>1.5.     Contrôle des dépenses</w:t>
            </w:r>
            <w:bookmarkEnd w:id="3"/>
          </w:p>
        </w:tc>
        <w:tc>
          <w:tcPr>
            <w:tcW w:w="992" w:type="dxa"/>
            <w:tcBorders>
              <w:bottom w:val="single" w:sz="4" w:space="0" w:color="auto"/>
            </w:tcBorders>
            <w:shd w:val="clear" w:color="auto" w:fill="BFBFBF" w:themeFill="background1" w:themeFillShade="BF"/>
          </w:tcPr>
          <w:p w:rsidR="00C948AD" w:rsidRPr="00FE7940" w:rsidRDefault="00C948AD" w:rsidP="00205D85">
            <w:pPr>
              <w:spacing w:line="276" w:lineRule="auto"/>
              <w:rPr>
                <w:rFonts w:asciiTheme="majorHAnsi" w:hAnsiTheme="majorHAnsi" w:cstheme="majorHAnsi"/>
                <w:noProof/>
              </w:rPr>
            </w:pPr>
          </w:p>
        </w:tc>
        <w:tc>
          <w:tcPr>
            <w:tcW w:w="3119" w:type="dxa"/>
            <w:tcBorders>
              <w:bottom w:val="single" w:sz="4" w:space="0" w:color="auto"/>
            </w:tcBorders>
            <w:shd w:val="clear" w:color="auto" w:fill="BFBFBF" w:themeFill="background1" w:themeFillShade="BF"/>
          </w:tcPr>
          <w:p w:rsidR="00C948AD" w:rsidRPr="00FE7940" w:rsidRDefault="00C948AD" w:rsidP="00205D85">
            <w:pPr>
              <w:spacing w:line="276" w:lineRule="auto"/>
              <w:rPr>
                <w:rFonts w:asciiTheme="majorHAnsi" w:hAnsiTheme="majorHAnsi" w:cstheme="majorHAnsi"/>
                <w:noProof/>
              </w:rPr>
            </w:pPr>
          </w:p>
        </w:tc>
      </w:tr>
      <w:tr w:rsidR="00C948AD" w:rsidRPr="00FE7940" w:rsidTr="00205D85">
        <w:trPr>
          <w:trHeight w:val="127"/>
        </w:trPr>
        <w:tc>
          <w:tcPr>
            <w:tcW w:w="6805" w:type="dxa"/>
            <w:shd w:val="clear" w:color="auto" w:fill="auto"/>
          </w:tcPr>
          <w:p w:rsidR="00C948AD" w:rsidRPr="00FE7940" w:rsidRDefault="00C948AD" w:rsidP="00205D85">
            <w:pPr>
              <w:spacing w:line="276" w:lineRule="auto"/>
              <w:rPr>
                <w:rFonts w:asciiTheme="majorHAnsi" w:hAnsiTheme="majorHAnsi" w:cstheme="majorHAnsi"/>
                <w:b/>
                <w:bCs/>
                <w:noProof/>
                <w:u w:val="single"/>
              </w:rPr>
            </w:pPr>
            <w:r w:rsidRPr="00FE7940">
              <w:rPr>
                <w:rFonts w:asciiTheme="majorHAnsi" w:hAnsiTheme="majorHAnsi" w:cstheme="majorHAnsi"/>
                <w:b/>
                <w:bCs/>
                <w:noProof/>
                <w:sz w:val="22"/>
                <w:szCs w:val="22"/>
                <w:u w:val="single"/>
              </w:rPr>
              <w:t>Conformité à la législation applicable</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Les règles communautaires et nationales ont-elles été respectées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 processus de passation de marché public est-il conforme concernant :</w:t>
            </w:r>
          </w:p>
          <w:p w:rsidR="00C948AD" w:rsidRPr="00FE7940" w:rsidRDefault="00C948AD" w:rsidP="00C948AD">
            <w:pPr>
              <w:numPr>
                <w:ilvl w:val="0"/>
                <w:numId w:val="6"/>
              </w:numPr>
              <w:spacing w:line="276" w:lineRule="auto"/>
              <w:contextualSpacing/>
              <w:rPr>
                <w:rFonts w:asciiTheme="majorHAnsi" w:hAnsiTheme="majorHAnsi" w:cstheme="majorHAnsi"/>
                <w:bCs/>
                <w:noProof/>
              </w:rPr>
            </w:pPr>
            <w:r w:rsidRPr="00FE7940">
              <w:rPr>
                <w:rFonts w:asciiTheme="majorHAnsi" w:hAnsiTheme="majorHAnsi" w:cstheme="majorHAnsi"/>
                <w:bCs/>
                <w:noProof/>
                <w:sz w:val="22"/>
                <w:szCs w:val="22"/>
              </w:rPr>
              <w:t xml:space="preserve">Les règles de passation de marché public européennes et nationales/ internes et celles stipulées dans la convention. </w:t>
            </w:r>
          </w:p>
          <w:p w:rsidR="00C948AD" w:rsidRPr="00FE7940" w:rsidRDefault="00C948AD" w:rsidP="00C948AD">
            <w:pPr>
              <w:numPr>
                <w:ilvl w:val="0"/>
                <w:numId w:val="6"/>
              </w:numPr>
              <w:spacing w:line="276" w:lineRule="auto"/>
              <w:contextualSpacing/>
              <w:rPr>
                <w:rFonts w:asciiTheme="majorHAnsi" w:hAnsiTheme="majorHAnsi" w:cstheme="majorHAnsi"/>
                <w:bCs/>
                <w:noProof/>
              </w:rPr>
            </w:pPr>
            <w:r w:rsidRPr="00FE7940">
              <w:rPr>
                <w:rFonts w:asciiTheme="majorHAnsi" w:hAnsiTheme="majorHAnsi" w:cstheme="majorHAnsi"/>
                <w:bCs/>
                <w:noProof/>
                <w:sz w:val="22"/>
                <w:szCs w:val="22"/>
              </w:rPr>
              <w:t xml:space="preserve">La documentation sur le respect de la procédure retenue (candidatures, lettres de rejet, notification, contrat). </w:t>
            </w:r>
          </w:p>
          <w:p w:rsidR="00C948AD" w:rsidRPr="00FE7940" w:rsidRDefault="00C948AD" w:rsidP="00C948AD">
            <w:pPr>
              <w:numPr>
                <w:ilvl w:val="0"/>
                <w:numId w:val="6"/>
              </w:numPr>
              <w:spacing w:line="276" w:lineRule="auto"/>
              <w:contextualSpacing/>
              <w:rPr>
                <w:rFonts w:asciiTheme="majorHAnsi" w:hAnsiTheme="majorHAnsi" w:cstheme="majorHAnsi"/>
                <w:bCs/>
                <w:noProof/>
              </w:rPr>
            </w:pPr>
            <w:r w:rsidRPr="00FE7940">
              <w:rPr>
                <w:rFonts w:asciiTheme="majorHAnsi" w:hAnsiTheme="majorHAnsi" w:cstheme="majorHAnsi"/>
                <w:bCs/>
                <w:noProof/>
                <w:sz w:val="22"/>
                <w:szCs w:val="22"/>
              </w:rPr>
              <w:t>Les principes de transparence, de non discrimination, de traitement équitable et de respect de la concurrence ont-ils été respectés ?</w:t>
            </w:r>
          </w:p>
          <w:p w:rsidR="00C948AD" w:rsidRPr="00FE7940" w:rsidRDefault="00C948AD" w:rsidP="00205D85">
            <w:pPr>
              <w:spacing w:line="276" w:lineRule="auto"/>
              <w:rPr>
                <w:rFonts w:asciiTheme="majorHAnsi" w:hAnsiTheme="majorHAnsi" w:cstheme="majorHAnsi"/>
                <w:noProof/>
              </w:rPr>
            </w:pPr>
          </w:p>
        </w:tc>
        <w:tc>
          <w:tcPr>
            <w:tcW w:w="992"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3119"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Pr>
          <w:p w:rsidR="00C948AD" w:rsidRPr="00FE7940" w:rsidRDefault="00C948AD" w:rsidP="00205D85">
            <w:pPr>
              <w:spacing w:line="276" w:lineRule="auto"/>
              <w:rPr>
                <w:rFonts w:asciiTheme="majorHAnsi" w:hAnsiTheme="majorHAnsi" w:cstheme="majorHAnsi"/>
                <w:b/>
                <w:bCs/>
                <w:noProof/>
                <w:u w:val="single"/>
              </w:rPr>
            </w:pPr>
            <w:r w:rsidRPr="00FE7940">
              <w:rPr>
                <w:rFonts w:asciiTheme="majorHAnsi" w:hAnsiTheme="majorHAnsi" w:cstheme="majorHAnsi"/>
                <w:b/>
                <w:bCs/>
                <w:noProof/>
                <w:sz w:val="22"/>
                <w:szCs w:val="22"/>
                <w:u w:val="single"/>
              </w:rPr>
              <w:t>Contrôle de l’éligibilité des dépenses</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Les dépenses sont-elles conformes aux critères d’éligibilité explicités dans le guide méthodologique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A-t-on obtenu l’assurance que la dépense n’a pas déjà été subventionnée par un autre financement (UE, régional, local ou autre) non déclaré au plan de financement ? Des contrôles existent-ils afin d’éviter le double-financement ?</w:t>
            </w:r>
          </w:p>
          <w:p w:rsidR="00C948AD" w:rsidRPr="00FE7940" w:rsidRDefault="00C948AD" w:rsidP="00205D85">
            <w:pPr>
              <w:spacing w:line="276" w:lineRule="auto"/>
              <w:rPr>
                <w:rFonts w:asciiTheme="majorHAnsi" w:hAnsiTheme="majorHAnsi" w:cstheme="majorHAnsi"/>
                <w:bCs/>
                <w:noProof/>
              </w:rPr>
            </w:pPr>
          </w:p>
        </w:tc>
        <w:tc>
          <w:tcPr>
            <w:tcW w:w="992" w:type="dxa"/>
          </w:tcPr>
          <w:p w:rsidR="00C948AD" w:rsidRPr="00FE7940" w:rsidRDefault="00C948AD" w:rsidP="00205D85">
            <w:pPr>
              <w:spacing w:line="276" w:lineRule="auto"/>
              <w:jc w:val="both"/>
              <w:rPr>
                <w:rFonts w:asciiTheme="majorHAnsi" w:hAnsiTheme="majorHAnsi" w:cstheme="majorHAnsi"/>
                <w:noProof/>
              </w:rPr>
            </w:pPr>
          </w:p>
        </w:tc>
        <w:tc>
          <w:tcPr>
            <w:tcW w:w="3119" w:type="dxa"/>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Pr>
          <w:p w:rsidR="00C948AD" w:rsidRPr="00FE7940" w:rsidRDefault="00C948AD" w:rsidP="00205D85">
            <w:pPr>
              <w:spacing w:line="276" w:lineRule="auto"/>
              <w:rPr>
                <w:rFonts w:asciiTheme="majorHAnsi" w:hAnsiTheme="majorHAnsi" w:cstheme="majorHAnsi"/>
                <w:b/>
                <w:bCs/>
                <w:noProof/>
                <w:u w:val="single"/>
              </w:rPr>
            </w:pPr>
            <w:r w:rsidRPr="00FE7940">
              <w:rPr>
                <w:rFonts w:asciiTheme="majorHAnsi" w:hAnsiTheme="majorHAnsi" w:cstheme="majorHAnsi"/>
                <w:b/>
                <w:bCs/>
                <w:noProof/>
                <w:sz w:val="22"/>
                <w:szCs w:val="22"/>
                <w:u w:val="single"/>
              </w:rPr>
              <w:t>Dépenses de personnel</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Les dépenses sont-elles bien liées aux employés de l’OSC ou autrement justifiés au titres des actions prévues dans la convention?</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Les charges de personnel sont-elles justifiées par des documents tels que les contrats de travail, les bulletins de paie (ou tout autre document de valeur probante équivalente), justificatifs de paiement, détail des calculs pour la détermination du coût unitaire du personnel (jour, semaine, mois), fiches de pointage, feuilles de temps spécifiques au projet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 calcul repose-t-il sur les coûts réels (salaires bruts + obligations contractuelles de l’employeur pour l’employé ayant effectivement travaillé sur le projet)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Lorsque le personnel ne travaille pas à temps plein sur le projet, le calcul du prorata est-il basé sur une méthode tracée et vérifiable ?</w:t>
            </w:r>
          </w:p>
          <w:p w:rsidR="00C948AD" w:rsidRPr="00FE7940" w:rsidRDefault="00C948AD" w:rsidP="00205D85">
            <w:pPr>
              <w:spacing w:line="276" w:lineRule="auto"/>
              <w:rPr>
                <w:rFonts w:asciiTheme="majorHAnsi" w:hAnsiTheme="majorHAnsi" w:cstheme="majorHAnsi"/>
                <w:bCs/>
                <w:noProof/>
              </w:rPr>
            </w:pPr>
          </w:p>
        </w:tc>
        <w:tc>
          <w:tcPr>
            <w:tcW w:w="992" w:type="dxa"/>
          </w:tcPr>
          <w:p w:rsidR="00C948AD" w:rsidRPr="00FE7940" w:rsidRDefault="00C948AD" w:rsidP="00205D85">
            <w:pPr>
              <w:spacing w:line="276" w:lineRule="auto"/>
              <w:jc w:val="both"/>
              <w:rPr>
                <w:rFonts w:asciiTheme="majorHAnsi" w:hAnsiTheme="majorHAnsi" w:cstheme="majorHAnsi"/>
                <w:noProof/>
              </w:rPr>
            </w:pPr>
          </w:p>
        </w:tc>
        <w:tc>
          <w:tcPr>
            <w:tcW w:w="3119" w:type="dxa"/>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Pr>
          <w:p w:rsidR="00C948AD" w:rsidRPr="00FE7940" w:rsidRDefault="00C948AD" w:rsidP="00205D85">
            <w:pPr>
              <w:spacing w:line="276" w:lineRule="auto"/>
              <w:rPr>
                <w:rFonts w:asciiTheme="majorHAnsi" w:hAnsiTheme="majorHAnsi" w:cstheme="majorHAnsi"/>
                <w:b/>
                <w:bCs/>
                <w:noProof/>
                <w:u w:val="single"/>
              </w:rPr>
            </w:pPr>
            <w:r w:rsidRPr="00FE7940">
              <w:rPr>
                <w:rFonts w:asciiTheme="majorHAnsi" w:hAnsiTheme="majorHAnsi" w:cstheme="majorHAnsi"/>
                <w:b/>
                <w:bCs/>
                <w:noProof/>
                <w:sz w:val="22"/>
                <w:szCs w:val="22"/>
                <w:u w:val="single"/>
              </w:rPr>
              <w:t>Voyage et hébergement</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xml:space="preserve">- Les dépenses de déplacement, perdiem et d’hébergement ont-elles </w:t>
            </w:r>
            <w:r w:rsidRPr="00FE7940">
              <w:rPr>
                <w:rFonts w:asciiTheme="majorHAnsi" w:hAnsiTheme="majorHAnsi" w:cstheme="majorHAnsi"/>
                <w:bCs/>
                <w:noProof/>
                <w:sz w:val="22"/>
                <w:szCs w:val="22"/>
              </w:rPr>
              <w:lastRenderedPageBreak/>
              <w:t>été déclarées conformément à une règlementation interne établie par l’OSC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Les voyages auxquels ces dépenses se rapportent sont-ils justifiés par les objectifs du projet tels qu’ils étaient prévus dans la demande initiale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Les déplacements sont ils circonscrits aux zones géographiques couvertes dans le projet ? Si extérieurs, ont-ils été explicitement validés avec l’AFD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xml:space="preserve">- Les dépenses de déplacement et d’hébergement sont elles-exclusivement liées à des voyages effectués par des intervenants du projet identifiés par l’OSC ou ses partenaires ? </w:t>
            </w:r>
          </w:p>
          <w:p w:rsidR="00C948AD" w:rsidRPr="00FE7940" w:rsidRDefault="00C948AD" w:rsidP="00205D85">
            <w:pPr>
              <w:spacing w:line="276" w:lineRule="auto"/>
              <w:rPr>
                <w:rFonts w:asciiTheme="majorHAnsi" w:hAnsiTheme="majorHAnsi" w:cstheme="majorHAnsi"/>
                <w:bCs/>
                <w:noProof/>
              </w:rPr>
            </w:pPr>
          </w:p>
        </w:tc>
        <w:tc>
          <w:tcPr>
            <w:tcW w:w="992" w:type="dxa"/>
          </w:tcPr>
          <w:p w:rsidR="00C948AD" w:rsidRPr="00FE7940" w:rsidRDefault="00C948AD" w:rsidP="00205D85">
            <w:pPr>
              <w:spacing w:line="276" w:lineRule="auto"/>
              <w:jc w:val="both"/>
              <w:rPr>
                <w:rFonts w:asciiTheme="majorHAnsi" w:hAnsiTheme="majorHAnsi" w:cstheme="majorHAnsi"/>
                <w:noProof/>
              </w:rPr>
            </w:pPr>
          </w:p>
        </w:tc>
        <w:tc>
          <w:tcPr>
            <w:tcW w:w="3119" w:type="dxa"/>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Pr>
          <w:p w:rsidR="00C948AD" w:rsidRPr="00FE7940" w:rsidRDefault="00C948AD" w:rsidP="00205D85">
            <w:pPr>
              <w:spacing w:line="276" w:lineRule="auto"/>
              <w:rPr>
                <w:rFonts w:asciiTheme="majorHAnsi" w:hAnsiTheme="majorHAnsi" w:cstheme="majorHAnsi"/>
                <w:b/>
                <w:bCs/>
                <w:noProof/>
                <w:u w:val="single"/>
              </w:rPr>
            </w:pPr>
            <w:r w:rsidRPr="00FE7940">
              <w:rPr>
                <w:rFonts w:asciiTheme="majorHAnsi" w:hAnsiTheme="majorHAnsi" w:cstheme="majorHAnsi"/>
                <w:b/>
                <w:bCs/>
                <w:noProof/>
                <w:sz w:val="22"/>
                <w:szCs w:val="22"/>
                <w:u w:val="single"/>
              </w:rPr>
              <w:lastRenderedPageBreak/>
              <w:t>Les dépenses d’équipement</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 matériel acheté a-t-il été prévu initialement dans la demande de financement ? Si ce n’est pas le cas, y a-t-il une validation de l’AFD par ANO conformément aux dispositions du guide méthodologique (seuil de matérialité &gt; 10 000 € pour les projets de terrain et &gt; 5 000 € pour ceux d’intérêt général)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Dans le cas où un bien matériel est valorisé, la méthode d’amortissement est-elle conforme à celle prévue par le guide méthodologique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Si le matériel n’a pas uniquement été utilisé pour le Projet, seule une part des coûts réels est-elle allouée au projet ? Cette part est-elle calculée selon une méthode équitable et justifiée ?</w:t>
            </w:r>
          </w:p>
          <w:p w:rsidR="00C948AD" w:rsidRPr="00FE7940" w:rsidRDefault="00C948AD" w:rsidP="00205D85">
            <w:pPr>
              <w:spacing w:line="276" w:lineRule="auto"/>
              <w:rPr>
                <w:rFonts w:asciiTheme="majorHAnsi" w:hAnsiTheme="majorHAnsi" w:cstheme="majorHAnsi"/>
                <w:bCs/>
                <w:noProof/>
              </w:rPr>
            </w:pPr>
          </w:p>
        </w:tc>
        <w:tc>
          <w:tcPr>
            <w:tcW w:w="992" w:type="dxa"/>
          </w:tcPr>
          <w:p w:rsidR="00C948AD" w:rsidRPr="00FE7940" w:rsidRDefault="00C948AD" w:rsidP="00205D85">
            <w:pPr>
              <w:spacing w:line="276" w:lineRule="auto"/>
              <w:jc w:val="both"/>
              <w:rPr>
                <w:rFonts w:asciiTheme="majorHAnsi" w:hAnsiTheme="majorHAnsi" w:cstheme="majorHAnsi"/>
                <w:noProof/>
              </w:rPr>
            </w:pPr>
          </w:p>
        </w:tc>
        <w:tc>
          <w:tcPr>
            <w:tcW w:w="3119" w:type="dxa"/>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Pr>
          <w:p w:rsidR="00C948AD" w:rsidRPr="00FE7940" w:rsidRDefault="00C948AD" w:rsidP="00205D85">
            <w:pPr>
              <w:spacing w:line="276" w:lineRule="auto"/>
              <w:rPr>
                <w:rFonts w:asciiTheme="majorHAnsi" w:hAnsiTheme="majorHAnsi" w:cstheme="majorHAnsi"/>
                <w:b/>
                <w:bCs/>
                <w:noProof/>
                <w:u w:val="single"/>
              </w:rPr>
            </w:pPr>
            <w:r w:rsidRPr="00FE7940">
              <w:rPr>
                <w:rFonts w:asciiTheme="majorHAnsi" w:hAnsiTheme="majorHAnsi" w:cstheme="majorHAnsi"/>
                <w:b/>
                <w:bCs/>
                <w:noProof/>
                <w:sz w:val="22"/>
                <w:szCs w:val="22"/>
                <w:u w:val="single"/>
              </w:rPr>
              <w:t>Expertises externes</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Les dépenses sont-elles liées aux éléments prévus sur cette ligne budgétaire d’après les caractéristiques mentionnées dans la demande de financement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 recours à l’expertise externe a-t-il été réalisé en conformité avec les règles de mise en concurrence et de passation stipulées dans la convention?</w:t>
            </w:r>
          </w:p>
          <w:p w:rsidR="00C948AD" w:rsidRPr="00FE7940" w:rsidRDefault="00C948AD" w:rsidP="00205D85">
            <w:pPr>
              <w:spacing w:line="276" w:lineRule="auto"/>
              <w:rPr>
                <w:rFonts w:asciiTheme="majorHAnsi" w:hAnsiTheme="majorHAnsi" w:cstheme="majorHAnsi"/>
                <w:bCs/>
                <w:noProof/>
              </w:rPr>
            </w:pPr>
          </w:p>
        </w:tc>
        <w:tc>
          <w:tcPr>
            <w:tcW w:w="992" w:type="dxa"/>
          </w:tcPr>
          <w:p w:rsidR="00C948AD" w:rsidRPr="00FE7940" w:rsidRDefault="00C948AD" w:rsidP="00205D85">
            <w:pPr>
              <w:spacing w:line="276" w:lineRule="auto"/>
              <w:jc w:val="both"/>
              <w:rPr>
                <w:rFonts w:asciiTheme="majorHAnsi" w:hAnsiTheme="majorHAnsi" w:cstheme="majorHAnsi"/>
                <w:noProof/>
              </w:rPr>
            </w:pPr>
          </w:p>
        </w:tc>
        <w:tc>
          <w:tcPr>
            <w:tcW w:w="3119" w:type="dxa"/>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127"/>
        </w:trPr>
        <w:tc>
          <w:tcPr>
            <w:tcW w:w="6805" w:type="dxa"/>
          </w:tcPr>
          <w:p w:rsidR="00C948AD" w:rsidRPr="00FE7940" w:rsidRDefault="00C948AD" w:rsidP="00205D85">
            <w:pPr>
              <w:spacing w:line="276" w:lineRule="auto"/>
              <w:rPr>
                <w:rFonts w:asciiTheme="majorHAnsi" w:hAnsiTheme="majorHAnsi" w:cstheme="majorHAnsi"/>
                <w:b/>
                <w:bCs/>
                <w:noProof/>
                <w:u w:val="single"/>
              </w:rPr>
            </w:pPr>
            <w:r w:rsidRPr="00FE7940">
              <w:rPr>
                <w:rFonts w:asciiTheme="majorHAnsi" w:hAnsiTheme="majorHAnsi" w:cstheme="majorHAnsi"/>
                <w:b/>
                <w:bCs/>
                <w:noProof/>
                <w:sz w:val="22"/>
                <w:szCs w:val="22"/>
                <w:u w:val="single"/>
              </w:rPr>
              <w:t>Taux de change</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La méthode de conversion appliquée par l’OSC a-t-elle été expliquée et le taux vérifié?</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Cette méthode est-elle conforme aux dispositions de l’Article 3.2.3 de la convention ?</w:t>
            </w:r>
          </w:p>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 Le Bénéficiaire a-t-il spécifié la manière dont il utilisera les sommes générées par les gains de change et compensera les pertes de change pendant la durée de mise en œuvre du projet ?</w:t>
            </w:r>
          </w:p>
          <w:p w:rsidR="00C948AD" w:rsidRPr="00FE7940" w:rsidRDefault="00C948AD" w:rsidP="00205D85">
            <w:pPr>
              <w:spacing w:line="276" w:lineRule="auto"/>
              <w:rPr>
                <w:rFonts w:asciiTheme="majorHAnsi" w:hAnsiTheme="majorHAnsi" w:cstheme="majorHAnsi"/>
                <w:bCs/>
                <w:noProof/>
              </w:rPr>
            </w:pPr>
          </w:p>
        </w:tc>
        <w:tc>
          <w:tcPr>
            <w:tcW w:w="992" w:type="dxa"/>
          </w:tcPr>
          <w:p w:rsidR="00C948AD" w:rsidRPr="00FE7940" w:rsidRDefault="00C948AD" w:rsidP="00205D85">
            <w:pPr>
              <w:spacing w:line="276" w:lineRule="auto"/>
              <w:jc w:val="both"/>
              <w:rPr>
                <w:rFonts w:asciiTheme="majorHAnsi" w:hAnsiTheme="majorHAnsi" w:cstheme="majorHAnsi"/>
                <w:noProof/>
              </w:rPr>
            </w:pPr>
          </w:p>
        </w:tc>
        <w:tc>
          <w:tcPr>
            <w:tcW w:w="3119" w:type="dxa"/>
          </w:tcPr>
          <w:p w:rsidR="00C948AD" w:rsidRPr="00FE7940" w:rsidRDefault="00C948AD" w:rsidP="00205D85">
            <w:pPr>
              <w:spacing w:line="276" w:lineRule="auto"/>
              <w:jc w:val="both"/>
              <w:rPr>
                <w:rFonts w:asciiTheme="majorHAnsi" w:hAnsiTheme="majorHAnsi" w:cstheme="majorHAnsi"/>
                <w:noProof/>
              </w:rPr>
            </w:pPr>
          </w:p>
        </w:tc>
      </w:tr>
    </w:tbl>
    <w:p w:rsidR="00C948AD" w:rsidRPr="00FE7940" w:rsidRDefault="00C948AD" w:rsidP="00C948AD">
      <w:pPr>
        <w:tabs>
          <w:tab w:val="left" w:pos="4283"/>
        </w:tabs>
        <w:spacing w:line="276" w:lineRule="auto"/>
        <w:rPr>
          <w:rFonts w:asciiTheme="majorHAnsi" w:hAnsiTheme="majorHAnsi" w:cstheme="majorHAnsi"/>
          <w:noProof/>
        </w:rPr>
      </w:pPr>
    </w:p>
    <w:tbl>
      <w:tblPr>
        <w:tblpPr w:leftFromText="141" w:rightFromText="141" w:vertAnchor="text" w:tblpX="-743"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134"/>
        <w:gridCol w:w="2976"/>
      </w:tblGrid>
      <w:tr w:rsidR="00C948AD" w:rsidRPr="00FE7940" w:rsidTr="00205D85">
        <w:trPr>
          <w:trHeight w:val="564"/>
          <w:tblHeader/>
        </w:trPr>
        <w:tc>
          <w:tcPr>
            <w:tcW w:w="6771" w:type="dxa"/>
            <w:shd w:val="clear" w:color="auto" w:fill="FFFF99"/>
            <w:vAlign w:val="center"/>
          </w:tcPr>
          <w:p w:rsidR="00C948AD" w:rsidRPr="00FE7940" w:rsidRDefault="00C948AD" w:rsidP="00C948AD">
            <w:pPr>
              <w:numPr>
                <w:ilvl w:val="0"/>
                <w:numId w:val="5"/>
              </w:numPr>
              <w:spacing w:line="276" w:lineRule="auto"/>
              <w:contextualSpacing/>
              <w:rPr>
                <w:rFonts w:asciiTheme="majorHAnsi" w:hAnsiTheme="majorHAnsi" w:cstheme="majorHAnsi"/>
                <w:b/>
              </w:rPr>
            </w:pPr>
            <w:r w:rsidRPr="00FE7940">
              <w:rPr>
                <w:rFonts w:asciiTheme="majorHAnsi" w:hAnsiTheme="majorHAnsi" w:cstheme="majorHAnsi"/>
                <w:b/>
                <w:sz w:val="22"/>
                <w:szCs w:val="22"/>
              </w:rPr>
              <w:t>LIVRABLES ATTENDUS</w:t>
            </w:r>
          </w:p>
        </w:tc>
        <w:tc>
          <w:tcPr>
            <w:tcW w:w="1134" w:type="dxa"/>
            <w:shd w:val="clear" w:color="auto" w:fill="FFFF99"/>
            <w:vAlign w:val="center"/>
          </w:tcPr>
          <w:p w:rsidR="00C948AD" w:rsidRPr="00FE7940" w:rsidRDefault="00C948AD" w:rsidP="00205D85">
            <w:pPr>
              <w:spacing w:line="276" w:lineRule="auto"/>
              <w:rPr>
                <w:rFonts w:asciiTheme="majorHAnsi" w:hAnsiTheme="majorHAnsi" w:cstheme="majorHAnsi"/>
                <w:b/>
                <w:noProof/>
              </w:rPr>
            </w:pPr>
            <w:r w:rsidRPr="00FE7940">
              <w:rPr>
                <w:rFonts w:asciiTheme="majorHAnsi" w:hAnsiTheme="majorHAnsi" w:cstheme="majorHAnsi"/>
                <w:b/>
                <w:noProof/>
                <w:sz w:val="22"/>
                <w:szCs w:val="22"/>
              </w:rPr>
              <w:t>Oui, transmis à l’AFD</w:t>
            </w:r>
          </w:p>
        </w:tc>
        <w:tc>
          <w:tcPr>
            <w:tcW w:w="2976" w:type="dxa"/>
            <w:shd w:val="clear" w:color="auto" w:fill="FFFF99"/>
            <w:vAlign w:val="center"/>
          </w:tcPr>
          <w:p w:rsidR="00C948AD" w:rsidRPr="00FE7940" w:rsidRDefault="00C948AD" w:rsidP="00205D85">
            <w:pPr>
              <w:spacing w:line="276" w:lineRule="auto"/>
              <w:rPr>
                <w:rFonts w:asciiTheme="majorHAnsi" w:hAnsiTheme="majorHAnsi" w:cstheme="majorHAnsi"/>
                <w:b/>
                <w:noProof/>
              </w:rPr>
            </w:pPr>
            <w:r w:rsidRPr="00FE7940">
              <w:rPr>
                <w:rFonts w:asciiTheme="majorHAnsi" w:hAnsiTheme="majorHAnsi" w:cstheme="majorHAnsi"/>
                <w:b/>
                <w:noProof/>
                <w:sz w:val="22"/>
                <w:szCs w:val="22"/>
              </w:rPr>
              <w:t>Non, pourquoi ?</w:t>
            </w:r>
          </w:p>
        </w:tc>
      </w:tr>
      <w:tr w:rsidR="00C948AD" w:rsidRPr="00FE7940" w:rsidTr="00205D85">
        <w:trPr>
          <w:trHeight w:val="689"/>
        </w:trPr>
        <w:tc>
          <w:tcPr>
            <w:tcW w:w="6771" w:type="dxa"/>
            <w:shd w:val="clear" w:color="auto" w:fill="auto"/>
          </w:tcPr>
          <w:p w:rsidR="00C948AD" w:rsidRPr="00FE7940" w:rsidRDefault="00C948AD" w:rsidP="00FB027E">
            <w:pPr>
              <w:spacing w:line="276" w:lineRule="auto"/>
              <w:rPr>
                <w:rFonts w:asciiTheme="majorHAnsi" w:hAnsiTheme="majorHAnsi" w:cstheme="majorHAnsi"/>
                <w:bCs/>
                <w:noProof/>
              </w:rPr>
            </w:pPr>
            <w:r w:rsidRPr="00FE7940">
              <w:rPr>
                <w:rFonts w:asciiTheme="majorHAnsi" w:hAnsiTheme="majorHAnsi" w:cstheme="majorHAnsi"/>
                <w:bCs/>
                <w:noProof/>
                <w:sz w:val="22"/>
                <w:szCs w:val="22"/>
              </w:rPr>
              <w:lastRenderedPageBreak/>
              <w:t xml:space="preserve">Un rapport </w:t>
            </w:r>
            <w:r w:rsidR="00FB027E">
              <w:rPr>
                <w:rFonts w:asciiTheme="majorHAnsi" w:hAnsiTheme="majorHAnsi" w:cstheme="majorHAnsi"/>
                <w:bCs/>
                <w:noProof/>
                <w:sz w:val="22"/>
                <w:szCs w:val="22"/>
              </w:rPr>
              <w:t>d’audit</w:t>
            </w:r>
            <w:bookmarkStart w:id="4" w:name="_GoBack"/>
            <w:bookmarkEnd w:id="4"/>
            <w:r w:rsidRPr="00FE7940">
              <w:rPr>
                <w:rFonts w:asciiTheme="majorHAnsi" w:hAnsiTheme="majorHAnsi" w:cstheme="majorHAnsi"/>
                <w:bCs/>
                <w:noProof/>
                <w:sz w:val="22"/>
                <w:szCs w:val="22"/>
              </w:rPr>
              <w:t>, apportant des commentaires sur chacun des contrôles ainsi que le montant des dépenses déclarées inéligibles et incluant notamment une évaluation sur les appels d’offre, les rétrocessions et les valorisations réalisées au cours du projet.</w:t>
            </w:r>
          </w:p>
        </w:tc>
        <w:tc>
          <w:tcPr>
            <w:tcW w:w="1134"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2976"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r w:rsidR="00C948AD" w:rsidRPr="00FE7940" w:rsidTr="00205D85">
        <w:trPr>
          <w:trHeight w:val="366"/>
        </w:trPr>
        <w:tc>
          <w:tcPr>
            <w:tcW w:w="6771" w:type="dxa"/>
            <w:shd w:val="clear" w:color="auto" w:fill="auto"/>
          </w:tcPr>
          <w:p w:rsidR="00C948AD" w:rsidRPr="00FE7940" w:rsidRDefault="00C948AD" w:rsidP="00205D85">
            <w:pPr>
              <w:spacing w:line="276" w:lineRule="auto"/>
              <w:rPr>
                <w:rFonts w:asciiTheme="majorHAnsi" w:hAnsiTheme="majorHAnsi" w:cstheme="majorHAnsi"/>
                <w:bCs/>
                <w:noProof/>
              </w:rPr>
            </w:pPr>
            <w:r w:rsidRPr="00FE7940">
              <w:rPr>
                <w:rFonts w:asciiTheme="majorHAnsi" w:hAnsiTheme="majorHAnsi" w:cstheme="majorHAnsi"/>
                <w:bCs/>
                <w:noProof/>
                <w:sz w:val="22"/>
                <w:szCs w:val="22"/>
              </w:rPr>
              <w:t>Une lettre de management reprenant les principales conclusions du rapport de vérificiation des dépenses  et formulant les principales recommandations.</w:t>
            </w:r>
          </w:p>
        </w:tc>
        <w:tc>
          <w:tcPr>
            <w:tcW w:w="1134" w:type="dxa"/>
            <w:shd w:val="clear" w:color="auto" w:fill="auto"/>
          </w:tcPr>
          <w:p w:rsidR="00C948AD" w:rsidRPr="00FE7940" w:rsidRDefault="00C948AD" w:rsidP="00205D85">
            <w:pPr>
              <w:spacing w:line="276" w:lineRule="auto"/>
              <w:jc w:val="both"/>
              <w:rPr>
                <w:rFonts w:asciiTheme="majorHAnsi" w:hAnsiTheme="majorHAnsi" w:cstheme="majorHAnsi"/>
                <w:noProof/>
              </w:rPr>
            </w:pPr>
          </w:p>
        </w:tc>
        <w:tc>
          <w:tcPr>
            <w:tcW w:w="2976" w:type="dxa"/>
            <w:shd w:val="clear" w:color="auto" w:fill="auto"/>
          </w:tcPr>
          <w:p w:rsidR="00C948AD" w:rsidRPr="00FE7940" w:rsidRDefault="00C948AD" w:rsidP="00205D85">
            <w:pPr>
              <w:spacing w:line="276" w:lineRule="auto"/>
              <w:jc w:val="both"/>
              <w:rPr>
                <w:rFonts w:asciiTheme="majorHAnsi" w:hAnsiTheme="majorHAnsi" w:cstheme="majorHAnsi"/>
                <w:noProof/>
              </w:rPr>
            </w:pPr>
          </w:p>
        </w:tc>
      </w:tr>
    </w:tbl>
    <w:p w:rsidR="00C948AD" w:rsidRPr="00FE7940" w:rsidRDefault="00C948AD" w:rsidP="00C948AD">
      <w:pPr>
        <w:spacing w:line="276" w:lineRule="auto"/>
        <w:rPr>
          <w:rFonts w:asciiTheme="majorHAnsi" w:hAnsiTheme="majorHAnsi" w:cstheme="majorHAnsi"/>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C948AD" w:rsidRPr="00FE7940" w:rsidRDefault="00C948AD" w:rsidP="00C948AD">
      <w:pPr>
        <w:spacing w:line="276" w:lineRule="auto"/>
        <w:rPr>
          <w:rFonts w:asciiTheme="majorHAnsi" w:eastAsia="Calibri" w:hAnsiTheme="majorHAnsi" w:cstheme="majorHAnsi"/>
          <w:b/>
          <w:sz w:val="22"/>
          <w:szCs w:val="22"/>
          <w:lang w:eastAsia="en-US"/>
        </w:rPr>
      </w:pPr>
    </w:p>
    <w:p w:rsidR="00E97FA8" w:rsidRDefault="00FC5469"/>
    <w:sectPr w:rsidR="00E97FA8" w:rsidSect="008472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469" w:rsidRDefault="00FC5469" w:rsidP="00FB027E">
      <w:r>
        <w:separator/>
      </w:r>
    </w:p>
  </w:endnote>
  <w:endnote w:type="continuationSeparator" w:id="1">
    <w:p w:rsidR="00FC5469" w:rsidRDefault="00FC5469" w:rsidP="00FB0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469" w:rsidRDefault="00FC5469" w:rsidP="00FB027E">
      <w:r>
        <w:separator/>
      </w:r>
    </w:p>
  </w:footnote>
  <w:footnote w:type="continuationSeparator" w:id="1">
    <w:p w:rsidR="00FC5469" w:rsidRDefault="00FC5469" w:rsidP="00FB0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300"/>
    <w:multiLevelType w:val="hybridMultilevel"/>
    <w:tmpl w:val="9E800686"/>
    <w:lvl w:ilvl="0" w:tplc="DBA265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DA1894"/>
    <w:multiLevelType w:val="hybridMultilevel"/>
    <w:tmpl w:val="E286E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4A57A9"/>
    <w:multiLevelType w:val="hybridMultilevel"/>
    <w:tmpl w:val="811A5E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06134A"/>
    <w:multiLevelType w:val="hybridMultilevel"/>
    <w:tmpl w:val="65C0F2E0"/>
    <w:lvl w:ilvl="0" w:tplc="D902D5B0">
      <w:start w:val="101"/>
      <w:numFmt w:val="bullet"/>
      <w:lvlText w:val="-"/>
      <w:lvlJc w:val="left"/>
      <w:pPr>
        <w:ind w:left="720" w:hanging="360"/>
      </w:pPr>
      <w:rPr>
        <w:rFonts w:ascii="Arial Narrow" w:eastAsia="Calibri" w:hAnsi="Arial Narrow"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37269A"/>
    <w:multiLevelType w:val="hybridMultilevel"/>
    <w:tmpl w:val="4BC8AF9A"/>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121C03F8">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68775DBC"/>
    <w:multiLevelType w:val="multilevel"/>
    <w:tmpl w:val="757A380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
    <w:nsid w:val="7D85293E"/>
    <w:multiLevelType w:val="hybridMultilevel"/>
    <w:tmpl w:val="7C6E2256"/>
    <w:lvl w:ilvl="0" w:tplc="18F02C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C948AD"/>
    <w:rsid w:val="00092B8E"/>
    <w:rsid w:val="003B0B83"/>
    <w:rsid w:val="007B19EA"/>
    <w:rsid w:val="0084729F"/>
    <w:rsid w:val="008B5833"/>
    <w:rsid w:val="00A10248"/>
    <w:rsid w:val="00C948AD"/>
    <w:rsid w:val="00F3542E"/>
    <w:rsid w:val="00FB027E"/>
    <w:rsid w:val="00FC54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A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C948AD"/>
    <w:rPr>
      <w:caps/>
      <w:sz w:val="28"/>
    </w:rPr>
  </w:style>
  <w:style w:type="paragraph" w:styleId="Paragraphedeliste">
    <w:name w:val="List Paragraph"/>
    <w:basedOn w:val="Normal"/>
    <w:uiPriority w:val="34"/>
    <w:qFormat/>
    <w:rsid w:val="00C948AD"/>
    <w:pPr>
      <w:ind w:left="720"/>
      <w:contextualSpacing/>
    </w:pPr>
    <w:rPr>
      <w:rFonts w:ascii="Cambria" w:eastAsia="Cambria" w:hAnsi="Cambria"/>
      <w:lang w:eastAsia="en-US"/>
    </w:rPr>
  </w:style>
  <w:style w:type="character" w:customStyle="1" w:styleId="Style1Car">
    <w:name w:val="Style1 Car"/>
    <w:link w:val="Style1"/>
    <w:rsid w:val="00C948AD"/>
    <w:rPr>
      <w:rFonts w:ascii="Times New Roman" w:eastAsia="Times New Roman" w:hAnsi="Times New Roman" w:cs="Times New Roman"/>
      <w:caps/>
      <w:sz w:val="28"/>
      <w:szCs w:val="24"/>
      <w:lang w:eastAsia="fr-FR"/>
    </w:rPr>
  </w:style>
  <w:style w:type="paragraph" w:customStyle="1" w:styleId="Default">
    <w:name w:val="Default"/>
    <w:rsid w:val="00C948AD"/>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En-tte">
    <w:name w:val="header"/>
    <w:basedOn w:val="Normal"/>
    <w:link w:val="En-tteCar"/>
    <w:uiPriority w:val="99"/>
    <w:unhideWhenUsed/>
    <w:rsid w:val="00FB027E"/>
    <w:pPr>
      <w:tabs>
        <w:tab w:val="center" w:pos="4536"/>
        <w:tab w:val="right" w:pos="9072"/>
      </w:tabs>
    </w:pPr>
  </w:style>
  <w:style w:type="character" w:customStyle="1" w:styleId="En-tteCar">
    <w:name w:val="En-tête Car"/>
    <w:basedOn w:val="Policepardfaut"/>
    <w:link w:val="En-tte"/>
    <w:uiPriority w:val="99"/>
    <w:rsid w:val="00FB027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B027E"/>
    <w:pPr>
      <w:tabs>
        <w:tab w:val="center" w:pos="4536"/>
        <w:tab w:val="right" w:pos="9072"/>
      </w:tabs>
    </w:pPr>
  </w:style>
  <w:style w:type="character" w:customStyle="1" w:styleId="PieddepageCar">
    <w:name w:val="Pied de page Car"/>
    <w:basedOn w:val="Policepardfaut"/>
    <w:link w:val="Pieddepage"/>
    <w:uiPriority w:val="99"/>
    <w:rsid w:val="00FB027E"/>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A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C948AD"/>
    <w:rPr>
      <w:caps/>
      <w:sz w:val="28"/>
    </w:rPr>
  </w:style>
  <w:style w:type="paragraph" w:styleId="Paragraphedeliste">
    <w:name w:val="List Paragraph"/>
    <w:basedOn w:val="Normal"/>
    <w:uiPriority w:val="34"/>
    <w:qFormat/>
    <w:rsid w:val="00C948AD"/>
    <w:pPr>
      <w:ind w:left="720"/>
      <w:contextualSpacing/>
    </w:pPr>
    <w:rPr>
      <w:rFonts w:ascii="Cambria" w:eastAsia="Cambria" w:hAnsi="Cambria"/>
      <w:lang w:eastAsia="en-US"/>
    </w:rPr>
  </w:style>
  <w:style w:type="character" w:customStyle="1" w:styleId="Style1Car">
    <w:name w:val="Style1 Car"/>
    <w:link w:val="Style1"/>
    <w:rsid w:val="00C948AD"/>
    <w:rPr>
      <w:rFonts w:ascii="Times New Roman" w:eastAsia="Times New Roman" w:hAnsi="Times New Roman" w:cs="Times New Roman"/>
      <w:caps/>
      <w:sz w:val="28"/>
      <w:szCs w:val="24"/>
      <w:lang w:eastAsia="fr-FR"/>
    </w:rPr>
  </w:style>
  <w:style w:type="paragraph" w:customStyle="1" w:styleId="Default">
    <w:name w:val="Default"/>
    <w:rsid w:val="00C948AD"/>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En-tte">
    <w:name w:val="header"/>
    <w:basedOn w:val="Normal"/>
    <w:link w:val="En-tteCar"/>
    <w:uiPriority w:val="99"/>
    <w:unhideWhenUsed/>
    <w:rsid w:val="00FB027E"/>
    <w:pPr>
      <w:tabs>
        <w:tab w:val="center" w:pos="4536"/>
        <w:tab w:val="right" w:pos="9072"/>
      </w:tabs>
    </w:pPr>
  </w:style>
  <w:style w:type="character" w:customStyle="1" w:styleId="En-tteCar">
    <w:name w:val="En-tête Car"/>
    <w:basedOn w:val="Policepardfaut"/>
    <w:link w:val="En-tte"/>
    <w:uiPriority w:val="99"/>
    <w:rsid w:val="00FB027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B027E"/>
    <w:pPr>
      <w:tabs>
        <w:tab w:val="center" w:pos="4536"/>
        <w:tab w:val="right" w:pos="9072"/>
      </w:tabs>
    </w:pPr>
  </w:style>
  <w:style w:type="character" w:customStyle="1" w:styleId="PieddepageCar">
    <w:name w:val="Pied de page Car"/>
    <w:basedOn w:val="Policepardfaut"/>
    <w:link w:val="Pieddepage"/>
    <w:uiPriority w:val="99"/>
    <w:rsid w:val="00FB027E"/>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2638</Words>
  <Characters>14511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HENTINGER Romy</dc:creator>
  <cp:lastModifiedBy>BADONTE Théo</cp:lastModifiedBy>
  <cp:revision>2</cp:revision>
  <dcterms:created xsi:type="dcterms:W3CDTF">2017-07-31T15:39:00Z</dcterms:created>
  <dcterms:modified xsi:type="dcterms:W3CDTF">2017-07-31T15:39:00Z</dcterms:modified>
</cp:coreProperties>
</file>